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1"/>
        <w:jc w:val="center"/>
        <w:keepLines/>
        <w:keepNext/>
        <w:spacing w:line="36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</w:t>
      </w:r>
      <w:r>
        <w:rPr>
          <w:b/>
          <w:bCs/>
          <w:sz w:val="26"/>
          <w:szCs w:val="26"/>
        </w:rPr>
      </w:r>
    </w:p>
    <w:p>
      <w:pPr>
        <w:pStyle w:val="841"/>
        <w:jc w:val="right"/>
        <w:keepLines/>
        <w:keepNext/>
        <w:spacing w:line="36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41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41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41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41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41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41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41"/>
        <w:keepLines/>
        <w:keepNext/>
      </w:pPr>
      <w:r/>
      <w:r/>
    </w:p>
    <w:p>
      <w:pPr>
        <w:pStyle w:val="841"/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на выполнение работ</w:t>
      </w:r>
      <w:r>
        <w:rPr>
          <w:rFonts w:eastAsia="Calibri"/>
          <w:b/>
        </w:rPr>
      </w:r>
    </w:p>
    <w:p>
      <w:pPr>
        <w:pStyle w:val="841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841"/>
        <w:contextualSpacing/>
        <w:jc w:val="center"/>
        <w:spacing w:before="120" w:after="120"/>
        <w:widowControl w:val="off"/>
        <w:tabs>
          <w:tab w:val="left" w:pos="426" w:leader="none"/>
          <w:tab w:val="clear" w:pos="708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ОКПД2 41.20.20.110 Выполнение работ по текущему ремонту </w:t>
      </w:r>
      <w:r>
        <w:rPr>
          <w:color w:val="000000" w:themeColor="text1"/>
          <w:sz w:val="24"/>
          <w:szCs w:val="24"/>
        </w:rPr>
      </w:r>
    </w:p>
    <w:p>
      <w:pPr>
        <w:pStyle w:val="841"/>
        <w:contextualSpacing/>
        <w:jc w:val="center"/>
        <w:spacing w:before="120" w:after="120"/>
        <w:widowControl w:val="off"/>
        <w:tabs>
          <w:tab w:val="left" w:pos="426" w:leader="none"/>
          <w:tab w:val="clear" w:pos="708" w:leader="none"/>
        </w:tabs>
        <w:rPr>
          <w:rStyle w:val="902"/>
          <w:b w:val="0"/>
          <w:sz w:val="24"/>
          <w:szCs w:val="24"/>
          <w:highlight w:val="green"/>
        </w:rPr>
      </w:pPr>
      <w:r>
        <w:rPr>
          <w:color w:val="000000" w:themeColor="text1"/>
          <w:sz w:val="24"/>
          <w:szCs w:val="24"/>
        </w:rPr>
        <w:t xml:space="preserve">санитарно-бытовых помещений на Хабаровской ТЭЦ-</w:t>
      </w:r>
      <w:r>
        <w:rPr>
          <w:color w:val="000000" w:themeColor="text1"/>
          <w:sz w:val="24"/>
          <w:szCs w:val="24"/>
          <w:shd w:val="clear" w:color="auto" w:fill="auto"/>
        </w:rPr>
        <w:t xml:space="preserve">2, г. Хабаровск</w:t>
      </w:r>
      <w:r>
        <w:rPr>
          <w:rStyle w:val="902"/>
          <w:b w:val="0"/>
          <w:sz w:val="24"/>
          <w:szCs w:val="24"/>
          <w:highlight w:val="green"/>
        </w:rPr>
      </w:r>
    </w:p>
    <w:p>
      <w:pPr>
        <w:pStyle w:val="841"/>
        <w:contextualSpacing/>
        <w:jc w:val="center"/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41"/>
        <w:contextualSpacing/>
        <w:jc w:val="center"/>
        <w:spacing w:before="0" w:after="0"/>
        <w:rPr>
          <w:b/>
          <w:bCs/>
          <w:sz w:val="24"/>
          <w:szCs w:val="24"/>
          <w:highlight w:val="none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14" w:right="851" w:bottom="992" w:left="1134" w:header="994" w:footer="0" w:gutter="0"/>
          <w:cols w:num="1" w:sep="0" w:space="1701" w:equalWidth="1"/>
          <w:docGrid w:linePitch="360"/>
        </w:sectPr>
      </w:pPr>
      <w:r>
        <w:rPr>
          <w:b/>
          <w:bCs/>
          <w:sz w:val="24"/>
          <w:szCs w:val="24"/>
        </w:rPr>
        <w:t xml:space="preserve">Лот № 11021000-РЕМ ПРОД-2026-ДГК-ХТЭЦ2</w:t>
      </w:r>
      <w:r>
        <w:rPr>
          <w:b/>
          <w:bCs/>
          <w:sz w:val="24"/>
          <w:szCs w:val="24"/>
          <w:highlight w:val="none"/>
        </w:rPr>
      </w:r>
    </w:p>
    <w:p>
      <w:pPr>
        <w:pStyle w:val="841"/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</w:p>
    <w:sdt>
      <w:sdtPr>
        <w15:appearance w15:val="boundingBox"/>
        <w:docPartObj>
          <w:docPartGallery w:val="Table of Contents"/>
          <w:docPartUnique w:val="true"/>
        </w:docPartObj>
        <w:rPr/>
      </w:sdtPr>
      <w:sdtContent>
        <w:p>
          <w:pPr>
            <w:pStyle w:val="944"/>
            <w:tabs>
              <w:tab w:val="clear" w:pos="708" w:leader="none"/>
              <w:tab w:val="right" w:pos="9911" w:leader="dot"/>
            </w:tabs>
            <w:rPr>
              <w:caps/>
            </w:rPr>
          </w:pPr>
          <w:r>
            <w:fldChar w:fldCharType="begin"/>
          </w:r>
          <w:r>
            <w:rPr>
              <w:rStyle w:val="915"/>
              <w:rFonts w:eastAsia="Calibri" w:cs="Times New Roman"/>
              <w:vanish w:val="0"/>
            </w:rPr>
            <w:instrText xml:space="preserve"> TOC \z \o "1-4" \u \h</w:instrText>
          </w:r>
          <w:r>
            <w:rPr>
              <w:rStyle w:val="915"/>
              <w:rFonts w:eastAsia="Calibri" w:cs="Times New Roman"/>
              <w:vanish w:val="0"/>
            </w:rPr>
            <w:fldChar w:fldCharType="separate"/>
          </w:r>
          <w:hyperlink w:tooltip="#_Toc1" w:anchor="_Toc1" w:history="1">
            <w:r>
              <w:rPr>
                <w:rStyle w:val="915"/>
                <w:rFonts w:eastAsia="Calibri" w:cs="Times New Roman"/>
                <w:vanish w:val="0"/>
              </w:rPr>
              <w:t xml:space="preserve">1.</w:t>
            </w:r>
            <w:r>
              <w:rPr>
                <w:rStyle w:val="915"/>
              </w:rPr>
              <w:t xml:space="preserve">      Общие сведения</w:t>
              <w:tab/>
            </w:r>
            <w:r>
              <w:fldChar w:fldCharType="begin"/>
            </w:r>
            <w:r>
              <w:instrText xml:space="preserve">PAGEREF _Toc1 \h</w:instrText>
            </w:r>
            <w:r>
              <w:fldChar w:fldCharType="separate"/>
            </w:r>
            <w:r>
              <w:rPr>
                <w:rStyle w:val="915"/>
                <w:rFonts w:eastAsia="Calibri" w:cs="Times New Roman"/>
              </w:rPr>
              <w:t xml:space="preserve">3</w:t>
            </w:r>
            <w:r>
              <w:fldChar w:fldCharType="end"/>
            </w:r>
          </w:hyperlink>
          <w:r/>
          <w:r>
            <w:rPr>
              <w:caps/>
            </w:rPr>
          </w:r>
        </w:p>
        <w:p>
          <w:pPr>
            <w:pStyle w:val="955"/>
            <w:tabs>
              <w:tab w:val="clear" w:pos="708" w:leader="none"/>
              <w:tab w:val="left" w:pos="1417" w:leader="none"/>
              <w:tab w:val="right" w:pos="9911" w:leader="dot"/>
            </w:tabs>
            <w:rPr>
              <w:sz w:val="24"/>
              <w:szCs w:val="24"/>
            </w:rPr>
          </w:pPr>
          <w:r/>
          <w:hyperlink w:tooltip="#_Toc2" w:anchor="_Toc2" w:history="1">
            <w:r>
              <w:rPr>
                <w:rStyle w:val="915"/>
                <w:rFonts w:eastAsia="Calibri" w:cs="Times New Roman"/>
                <w:vanish w:val="0"/>
                <w:sz w:val="24"/>
                <w:szCs w:val="24"/>
              </w:rPr>
              <w:t xml:space="preserve">1.1.</w:t>
            </w:r>
            <w:r>
              <w:rPr>
                <w:rStyle w:val="915"/>
                <w:sz w:val="24"/>
                <w:szCs w:val="24"/>
              </w:rPr>
              <w:tab/>
              <w:t xml:space="preserve">Обозначения и сокращения</w:t>
              <w:tab/>
            </w:r>
            <w:r>
              <w:fldChar w:fldCharType="begin"/>
            </w:r>
            <w:r>
              <w:instrText xml:space="preserve">PAGEREF _Toc2 \h</w:instrText>
            </w:r>
            <w:r>
              <w:fldChar w:fldCharType="separate"/>
            </w:r>
            <w:r>
              <w:rPr>
                <w:rStyle w:val="915"/>
                <w:rFonts w:eastAsia="Calibri" w:cs="Times New Roman"/>
                <w:sz w:val="24"/>
                <w:szCs w:val="24"/>
              </w:rPr>
              <w:t xml:space="preserve">3</w:t>
            </w:r>
            <w:r>
              <w:fldChar w:fldCharType="end"/>
            </w:r>
          </w:hyperlink>
          <w:r/>
          <w:r>
            <w:rPr>
              <w:sz w:val="24"/>
              <w:szCs w:val="24"/>
            </w:rPr>
          </w:r>
        </w:p>
        <w:p>
          <w:pPr>
            <w:pStyle w:val="955"/>
            <w:tabs>
              <w:tab w:val="clear" w:pos="708" w:leader="none"/>
              <w:tab w:val="left" w:pos="1417" w:leader="none"/>
              <w:tab w:val="right" w:pos="9911" w:leader="dot"/>
            </w:tabs>
            <w:rPr>
              <w:sz w:val="24"/>
              <w:szCs w:val="24"/>
            </w:rPr>
          </w:pPr>
          <w:r/>
          <w:hyperlink w:tooltip="#_Toc3" w:anchor="_Toc3" w:history="1">
            <w:r>
              <w:rPr>
                <w:rStyle w:val="915"/>
                <w:rFonts w:eastAsia="Calibri" w:cs="Times New Roman"/>
                <w:vanish w:val="0"/>
                <w:sz w:val="24"/>
                <w:szCs w:val="24"/>
              </w:rPr>
              <w:t xml:space="preserve">1.2.</w:t>
            </w:r>
            <w:r>
              <w:rPr>
                <w:rStyle w:val="915"/>
                <w:sz w:val="24"/>
                <w:szCs w:val="24"/>
              </w:rPr>
              <w:tab/>
              <w:t xml:space="preserve">Наименование закупаемой продукции</w:t>
              <w:tab/>
            </w:r>
            <w:r>
              <w:fldChar w:fldCharType="begin"/>
            </w:r>
            <w:r>
              <w:instrText xml:space="preserve">PAGEREF _Toc3 \h</w:instrText>
            </w:r>
            <w:r>
              <w:fldChar w:fldCharType="separate"/>
            </w:r>
            <w:r>
              <w:rPr>
                <w:rStyle w:val="915"/>
                <w:rFonts w:eastAsia="Calibri" w:cs="Times New Roman"/>
                <w:sz w:val="24"/>
                <w:szCs w:val="24"/>
              </w:rPr>
              <w:t xml:space="preserve">4</w:t>
            </w:r>
            <w:r>
              <w:fldChar w:fldCharType="end"/>
            </w:r>
          </w:hyperlink>
          <w:r/>
          <w:r>
            <w:rPr>
              <w:sz w:val="24"/>
              <w:szCs w:val="24"/>
            </w:rPr>
          </w:r>
        </w:p>
        <w:p>
          <w:pPr>
            <w:pStyle w:val="955"/>
            <w:tabs>
              <w:tab w:val="clear" w:pos="708" w:leader="none"/>
              <w:tab w:val="left" w:pos="1417" w:leader="none"/>
              <w:tab w:val="right" w:pos="9911" w:leader="dot"/>
            </w:tabs>
            <w:rPr>
              <w:sz w:val="24"/>
              <w:szCs w:val="24"/>
            </w:rPr>
          </w:pPr>
          <w:r/>
          <w:hyperlink w:tooltip="#_Toc4" w:anchor="_Toc4" w:history="1">
            <w:r>
              <w:rPr>
                <w:rStyle w:val="915"/>
                <w:rFonts w:eastAsia="Calibri" w:cs="Times New Roman"/>
                <w:vanish w:val="0"/>
                <w:sz w:val="24"/>
                <w:szCs w:val="24"/>
              </w:rPr>
              <w:t xml:space="preserve">1.3.</w:t>
            </w:r>
            <w:r>
              <w:rPr>
                <w:rStyle w:val="915"/>
                <w:sz w:val="24"/>
                <w:szCs w:val="24"/>
              </w:rPr>
              <w:tab/>
              <w:t xml:space="preserve">Цель выполнения работ</w:t>
              <w:tab/>
            </w:r>
            <w:r>
              <w:fldChar w:fldCharType="begin"/>
            </w:r>
            <w:r>
              <w:instrText xml:space="preserve">PAGEREF _Toc4 \h</w:instrText>
            </w:r>
            <w:r>
              <w:fldChar w:fldCharType="separate"/>
            </w:r>
            <w:r>
              <w:rPr>
                <w:rStyle w:val="915"/>
                <w:rFonts w:eastAsia="Calibri" w:cs="Times New Roman"/>
                <w:sz w:val="24"/>
                <w:szCs w:val="24"/>
              </w:rPr>
              <w:t xml:space="preserve">4</w:t>
            </w:r>
            <w:r>
              <w:fldChar w:fldCharType="end"/>
            </w:r>
          </w:hyperlink>
          <w:r/>
          <w:r>
            <w:rPr>
              <w:sz w:val="24"/>
              <w:szCs w:val="24"/>
            </w:rPr>
          </w:r>
        </w:p>
        <w:p>
          <w:pPr>
            <w:pStyle w:val="944"/>
            <w:tabs>
              <w:tab w:val="clear" w:pos="708" w:leader="none"/>
              <w:tab w:val="right" w:pos="9911" w:leader="dot"/>
            </w:tabs>
          </w:pPr>
          <w:r/>
          <w:hyperlink w:tooltip="#_Toc6" w:anchor="_Toc6" w:history="1">
            <w:r>
              <w:rPr>
                <w:rStyle w:val="915"/>
                <w:vanish w:val="0"/>
              </w:rPr>
              <w:t xml:space="preserve">Таблица 1. Перечень объектов заказчика</w:t>
              <w:tab/>
            </w:r>
            <w:r>
              <w:fldChar w:fldCharType="begin"/>
            </w:r>
            <w:r>
              <w:instrText xml:space="preserve">PAGEREF _Toc6 \h</w:instrText>
            </w:r>
            <w:r>
              <w:fldChar w:fldCharType="separate"/>
            </w:r>
            <w:r>
              <w:rPr>
                <w:rStyle w:val="915"/>
              </w:rPr>
              <w:t xml:space="preserve">4.</w:t>
            </w:r>
            <w:r>
              <w:fldChar w:fldCharType="end"/>
            </w:r>
          </w:hyperlink>
          <w:r/>
          <w:r/>
        </w:p>
        <w:p>
          <w:pPr>
            <w:pStyle w:val="955"/>
            <w:tabs>
              <w:tab w:val="clear" w:pos="708" w:leader="none"/>
              <w:tab w:val="left" w:pos="1417" w:leader="none"/>
              <w:tab w:val="right" w:pos="9911" w:leader="dot"/>
            </w:tabs>
            <w:rPr>
              <w:sz w:val="24"/>
              <w:szCs w:val="24"/>
            </w:rPr>
          </w:pPr>
          <w:r/>
          <w:hyperlink w:tooltip="#_Toc7" w:anchor="_Toc7" w:history="1">
            <w:r>
              <w:rPr>
                <w:rStyle w:val="915"/>
                <w:rFonts w:eastAsia="Calibri" w:cs="Times New Roman"/>
                <w:vanish w:val="0"/>
                <w:sz w:val="24"/>
                <w:szCs w:val="24"/>
              </w:rPr>
              <w:t xml:space="preserve">1.4.</w:t>
            </w:r>
            <w:r>
              <w:rPr>
                <w:rStyle w:val="915"/>
                <w:sz w:val="24"/>
                <w:szCs w:val="24"/>
              </w:rPr>
              <w:tab/>
    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        <w:tab/>
            </w:r>
            <w:r>
              <w:fldChar w:fldCharType="begin"/>
            </w:r>
            <w:r>
              <w:instrText xml:space="preserve">PAGEREF _Toc7 \h</w:instrText>
            </w:r>
            <w:r>
              <w:fldChar w:fldCharType="separate"/>
            </w:r>
            <w:r>
              <w:rPr>
                <w:rStyle w:val="915"/>
                <w:rFonts w:eastAsia="Calibri" w:cs="Times New Roman"/>
                <w:sz w:val="24"/>
                <w:szCs w:val="24"/>
              </w:rPr>
              <w:t xml:space="preserve">4</w:t>
            </w:r>
            <w:r>
              <w:fldChar w:fldCharType="end"/>
            </w:r>
          </w:hyperlink>
          <w:r/>
          <w:r>
            <w:rPr>
              <w:sz w:val="24"/>
              <w:szCs w:val="24"/>
            </w:rPr>
          </w:r>
        </w:p>
        <w:p>
          <w:pPr>
            <w:pStyle w:val="944"/>
            <w:tabs>
              <w:tab w:val="left" w:pos="567" w:leader="none"/>
              <w:tab w:val="clear" w:pos="708" w:leader="none"/>
              <w:tab w:val="right" w:pos="9911" w:leader="dot"/>
            </w:tabs>
            <w:rPr>
              <w:iCs/>
              <w:caps/>
            </w:rPr>
          </w:pPr>
          <w:r/>
          <w:hyperlink w:tooltip="#_Toc8" w:anchor="_Toc8" w:history="1">
            <w:r>
              <w:rPr>
                <w:rStyle w:val="915"/>
                <w:rFonts w:eastAsia="Calibri" w:cs="Times New Roman"/>
                <w:vanish w:val="0"/>
              </w:rPr>
              <w:t xml:space="preserve">2.</w:t>
            </w:r>
            <w:r>
              <w:rPr>
                <w:rStyle w:val="915"/>
              </w:rPr>
              <w:tab/>
            </w:r>
            <w:r>
              <w:rPr>
                <w:rStyle w:val="915"/>
                <w:iCs/>
              </w:rPr>
              <w:t xml:space="preserve">Требования к продукции</w:t>
            </w:r>
            <w:r>
              <w:rPr>
                <w:rStyle w:val="915"/>
              </w:rPr>
              <w:tab/>
            </w:r>
            <w:r>
              <w:fldChar w:fldCharType="begin"/>
            </w:r>
            <w:r>
              <w:instrText xml:space="preserve">PAGEREF _Toc8 \h</w:instrText>
            </w:r>
            <w:r>
              <w:fldChar w:fldCharType="separate"/>
            </w:r>
            <w:r>
              <w:rPr>
                <w:rStyle w:val="915"/>
                <w:rFonts w:eastAsia="Calibri" w:cs="Times New Roman"/>
              </w:rPr>
              <w:t xml:space="preserve">4</w:t>
            </w:r>
            <w:r>
              <w:fldChar w:fldCharType="end"/>
            </w:r>
          </w:hyperlink>
          <w:r/>
          <w:r>
            <w:rPr>
              <w:iCs/>
              <w:caps/>
            </w:rPr>
          </w:r>
        </w:p>
        <w:p>
          <w:pPr>
            <w:pStyle w:val="955"/>
            <w:tabs>
              <w:tab w:val="clear" w:pos="708" w:leader="none"/>
              <w:tab w:val="left" w:pos="1417" w:leader="none"/>
              <w:tab w:val="right" w:pos="9911" w:leader="dot"/>
            </w:tabs>
            <w:rPr>
              <w:sz w:val="24"/>
              <w:szCs w:val="24"/>
            </w:rPr>
          </w:pPr>
          <w:r/>
          <w:hyperlink w:tooltip="#_Toc9" w:anchor="_Toc9" w:history="1">
            <w:r>
              <w:rPr>
                <w:rStyle w:val="915"/>
                <w:rFonts w:eastAsia="Calibri" w:cs="Times New Roman"/>
                <w:vanish w:val="0"/>
                <w:sz w:val="24"/>
                <w:szCs w:val="24"/>
              </w:rPr>
              <w:t xml:space="preserve">2.1.</w:t>
            </w:r>
            <w:r>
              <w:rPr>
                <w:rStyle w:val="915"/>
                <w:sz w:val="24"/>
                <w:szCs w:val="24"/>
              </w:rPr>
              <w:tab/>
              <w:t xml:space="preserve">Требования к объемам и срокам выполнения работ</w:t>
              <w:tab/>
            </w:r>
            <w:r>
              <w:fldChar w:fldCharType="begin"/>
            </w:r>
            <w:r>
              <w:instrText xml:space="preserve">PAGEREF _Toc9 \h</w:instrText>
            </w:r>
            <w:r>
              <w:fldChar w:fldCharType="separate"/>
            </w:r>
            <w:r>
              <w:rPr>
                <w:rStyle w:val="915"/>
                <w:rFonts w:eastAsia="Calibri" w:cs="Times New Roman"/>
                <w:sz w:val="24"/>
                <w:szCs w:val="24"/>
              </w:rPr>
              <w:t xml:space="preserve">4</w:t>
            </w:r>
            <w:r>
              <w:fldChar w:fldCharType="end"/>
            </w:r>
          </w:hyperlink>
          <w:r/>
          <w:r>
            <w:rPr>
              <w:sz w:val="24"/>
              <w:szCs w:val="24"/>
            </w:rPr>
          </w:r>
        </w:p>
        <w:p>
          <w:pPr>
            <w:pStyle w:val="945"/>
            <w:tabs>
              <w:tab w:val="clear" w:pos="708" w:leader="none"/>
              <w:tab w:val="left" w:pos="1134" w:leader="none"/>
              <w:tab w:val="right" w:pos="9911" w:leader="dot"/>
            </w:tabs>
            <w:rPr>
              <w:sz w:val="24"/>
              <w:szCs w:val="24"/>
            </w:rPr>
          </w:pPr>
          <w:r/>
          <w:hyperlink w:tooltip="#_Toc10" w:anchor="_Toc10" w:history="1">
            <w:r>
              <w:rPr>
                <w:rStyle w:val="915"/>
                <w:rFonts w:eastAsia="Calibri" w:cs="Times New Roman"/>
                <w:vanish w:val="0"/>
                <w:sz w:val="24"/>
                <w:szCs w:val="24"/>
              </w:rPr>
              <w:t xml:space="preserve">2.1.1.</w:t>
            </w:r>
            <w:r>
              <w:rPr>
                <w:rStyle w:val="915"/>
                <w:sz w:val="24"/>
                <w:szCs w:val="24"/>
              </w:rPr>
              <w:tab/>
              <w:t xml:space="preserve">Требования к видам и объемам работ</w:t>
              <w:tab/>
            </w:r>
            <w:r>
              <w:fldChar w:fldCharType="begin"/>
            </w:r>
            <w:r>
              <w:instrText xml:space="preserve">PAGEREF _Toc10 \h</w:instrText>
            </w:r>
            <w:r>
              <w:fldChar w:fldCharType="separate"/>
            </w:r>
            <w:r>
              <w:rPr>
                <w:rStyle w:val="915"/>
                <w:rFonts w:eastAsia="Calibri" w:cs="Times New Roman"/>
                <w:sz w:val="24"/>
                <w:szCs w:val="24"/>
              </w:rPr>
              <w:t xml:space="preserve">4</w:t>
            </w:r>
            <w:r>
              <w:fldChar w:fldCharType="end"/>
            </w:r>
          </w:hyperlink>
          <w:r/>
          <w:r>
            <w:rPr>
              <w:sz w:val="24"/>
              <w:szCs w:val="24"/>
            </w:rPr>
          </w:r>
        </w:p>
        <w:p>
          <w:pPr>
            <w:pStyle w:val="944"/>
            <w:tabs>
              <w:tab w:val="clear" w:pos="708" w:leader="none"/>
              <w:tab w:val="right" w:pos="9911" w:leader="dot"/>
            </w:tabs>
          </w:pPr>
          <w:r/>
          <w:hyperlink w:tooltip="#_Toc11" w:anchor="_Toc11" w:history="1">
            <w:r>
              <w:fldChar w:fldCharType="begin"/>
            </w:r>
            <w:r>
              <w:instrText xml:space="preserve">PAGEREF _Toc11 \h</w:instrText>
            </w:r>
            <w:r>
              <w:fldChar w:fldCharType="separate"/>
            </w:r>
            <w:r>
              <w:rPr>
                <w:rStyle w:val="915"/>
                <w:vanish w:val="0"/>
              </w:rPr>
              <w:t xml:space="preserve">Таблица 2. Перечень и объем выполняемых работ</w:t>
              <w:tab/>
              <w:t xml:space="preserve">4</w:t>
            </w:r>
            <w:r>
              <w:fldChar w:fldCharType="end"/>
            </w:r>
          </w:hyperlink>
          <w:r/>
          <w:r/>
        </w:p>
        <w:p>
          <w:pPr>
            <w:pStyle w:val="945"/>
            <w:tabs>
              <w:tab w:val="clear" w:pos="708" w:leader="none"/>
              <w:tab w:val="left" w:pos="1134" w:leader="none"/>
              <w:tab w:val="right" w:pos="9911" w:leader="dot"/>
            </w:tabs>
            <w:rPr>
              <w:sz w:val="24"/>
              <w:szCs w:val="24"/>
            </w:rPr>
          </w:pPr>
          <w:r/>
          <w:hyperlink w:tooltip="#_Toc12" w:anchor="_Toc12" w:history="1">
            <w:r>
              <w:rPr>
                <w:rStyle w:val="915"/>
                <w:rFonts w:eastAsia="Calibri" w:cs="Times New Roman"/>
                <w:vanish w:val="0"/>
                <w:sz w:val="24"/>
                <w:szCs w:val="24"/>
              </w:rPr>
              <w:t xml:space="preserve">2.1.2.</w:t>
            </w:r>
            <w:r>
              <w:rPr>
                <w:rStyle w:val="915"/>
                <w:sz w:val="24"/>
                <w:szCs w:val="24"/>
              </w:rPr>
              <w:tab/>
              <w:t xml:space="preserve">  Требования к срокам выполнения работ</w:t>
              <w:tab/>
            </w:r>
            <w:r>
              <w:fldChar w:fldCharType="begin"/>
            </w:r>
            <w:r>
              <w:instrText xml:space="preserve">PAGEREF _Toc12 \h</w:instrText>
            </w:r>
            <w:r>
              <w:fldChar w:fldCharType="separate"/>
            </w:r>
            <w:r>
              <w:rPr>
                <w:rStyle w:val="915"/>
                <w:rFonts w:eastAsia="Calibri" w:cs="Times New Roman"/>
                <w:sz w:val="24"/>
                <w:szCs w:val="24"/>
              </w:rPr>
              <w:t xml:space="preserve">4</w:t>
            </w:r>
            <w:r>
              <w:fldChar w:fldCharType="end"/>
            </w:r>
          </w:hyperlink>
          <w:r/>
          <w:r>
            <w:rPr>
              <w:sz w:val="24"/>
              <w:szCs w:val="24"/>
            </w:rPr>
          </w:r>
        </w:p>
        <w:p>
          <w:pPr>
            <w:pStyle w:val="944"/>
            <w:tabs>
              <w:tab w:val="clear" w:pos="708" w:leader="none"/>
              <w:tab w:val="right" w:pos="9911" w:leader="dot"/>
            </w:tabs>
          </w:pPr>
          <w:r/>
          <w:hyperlink w:tooltip="#_Toc13" w:anchor="_Toc13" w:history="1">
            <w:r>
              <w:fldChar w:fldCharType="begin"/>
            </w:r>
            <w:r>
              <w:instrText xml:space="preserve">PAGEREF _Toc13 \h</w:instrText>
            </w:r>
            <w:r>
              <w:fldChar w:fldCharType="separate"/>
            </w:r>
            <w:r>
              <w:rPr>
                <w:rStyle w:val="915"/>
                <w:vanish w:val="0"/>
              </w:rPr>
              <w:t xml:space="preserve">Таблица 3. Требования по срокам выполнения работ</w:t>
              <w:tab/>
              <w:t xml:space="preserve">4</w:t>
            </w:r>
            <w:r>
              <w:fldChar w:fldCharType="end"/>
            </w:r>
          </w:hyperlink>
          <w:r/>
          <w:r/>
        </w:p>
        <w:p>
          <w:pPr>
            <w:pStyle w:val="955"/>
            <w:tabs>
              <w:tab w:val="clear" w:pos="708" w:leader="none"/>
              <w:tab w:val="left" w:pos="1417" w:leader="none"/>
              <w:tab w:val="right" w:pos="9911" w:leader="dot"/>
            </w:tabs>
            <w:rPr>
              <w:sz w:val="24"/>
              <w:szCs w:val="24"/>
            </w:rPr>
          </w:pPr>
          <w:r/>
          <w:hyperlink w:tooltip="#_Toc14" w:anchor="_Toc14" w:history="1">
            <w:r>
              <w:rPr>
                <w:rStyle w:val="915"/>
                <w:rFonts w:eastAsia="Calibri" w:cs="Times New Roman"/>
                <w:vanish w:val="0"/>
                <w:sz w:val="24"/>
                <w:szCs w:val="24"/>
              </w:rPr>
              <w:t xml:space="preserve">2.2.</w:t>
            </w:r>
            <w:r>
              <w:rPr>
                <w:rStyle w:val="915"/>
                <w:sz w:val="24"/>
                <w:szCs w:val="24"/>
              </w:rPr>
              <w:tab/>
              <w:t xml:space="preserve">Требования к качеству работ</w:t>
              <w:tab/>
            </w:r>
            <w:r>
              <w:fldChar w:fldCharType="begin"/>
            </w:r>
            <w:r>
              <w:instrText xml:space="preserve">PAGEREF _Toc14 \h</w:instrText>
            </w:r>
            <w:r>
              <w:fldChar w:fldCharType="separate"/>
            </w:r>
            <w:r>
              <w:rPr>
                <w:rStyle w:val="915"/>
                <w:rFonts w:eastAsia="Calibri" w:cs="Times New Roman"/>
                <w:sz w:val="24"/>
                <w:szCs w:val="24"/>
              </w:rPr>
              <w:t xml:space="preserve">5</w:t>
            </w:r>
            <w:r>
              <w:fldChar w:fldCharType="end"/>
            </w:r>
          </w:hyperlink>
          <w:r/>
          <w:r>
            <w:rPr>
              <w:sz w:val="24"/>
              <w:szCs w:val="24"/>
            </w:rPr>
          </w:r>
        </w:p>
        <w:p>
          <w:pPr>
            <w:pStyle w:val="944"/>
            <w:tabs>
              <w:tab w:val="clear" w:pos="708" w:leader="none"/>
              <w:tab w:val="right" w:pos="9911" w:leader="dot"/>
            </w:tabs>
          </w:pPr>
          <w:r/>
          <w:hyperlink w:tooltip="#_Toc15" w:anchor="_Toc15" w:history="1">
            <w:r>
              <w:fldChar w:fldCharType="begin"/>
            </w:r>
            <w:r>
              <w:instrText xml:space="preserve">PAGEREF _Toc15 \h</w:instrText>
            </w:r>
            <w:r>
              <w:fldChar w:fldCharType="separate"/>
            </w:r>
            <w:r>
              <w:rPr>
                <w:rStyle w:val="915"/>
                <w:vanish w:val="0"/>
              </w:rPr>
              <w:t xml:space="preserve">Таблица 4. Требования к качеству работ </w:t>
              <w:tab/>
              <w:t xml:space="preserve">5</w:t>
            </w:r>
            <w:r>
              <w:fldChar w:fldCharType="end"/>
            </w:r>
          </w:hyperlink>
          <w:r/>
          <w:r/>
        </w:p>
        <w:p>
          <w:pPr>
            <w:pStyle w:val="944"/>
            <w:tabs>
              <w:tab w:val="left" w:pos="567" w:leader="none"/>
              <w:tab w:val="clear" w:pos="708" w:leader="none"/>
              <w:tab w:val="right" w:pos="9911" w:leader="dot"/>
            </w:tabs>
          </w:pPr>
          <w:r/>
          <w:hyperlink w:tooltip="#_Toc17" w:anchor="_Toc17" w:history="1">
            <w:r>
              <w:rPr>
                <w:rStyle w:val="915"/>
                <w:rFonts w:eastAsia="Calibri" w:cs="Times New Roman"/>
                <w:vanish w:val="0"/>
              </w:rPr>
              <w:t xml:space="preserve">3.</w:t>
            </w:r>
            <w:r>
              <w:fldChar w:fldCharType="begin"/>
            </w:r>
            <w:r>
              <w:instrText xml:space="preserve">PAGEREF _Toc17 \h</w:instrText>
            </w:r>
            <w:r>
              <w:fldChar w:fldCharType="separate"/>
            </w:r>
            <w:r>
              <w:rPr>
                <w:rStyle w:val="915"/>
              </w:rPr>
              <w:tab/>
              <w:t xml:space="preserve">Требования к документации по ценообразованию на этапе закупки</w:t>
              <w:tab/>
              <w:t xml:space="preserve">15</w:t>
            </w:r>
            <w:r>
              <w:fldChar w:fldCharType="end"/>
            </w:r>
          </w:hyperlink>
          <w:r/>
          <w:r/>
        </w:p>
        <w:p>
          <w:pPr>
            <w:pStyle w:val="944"/>
            <w:tabs>
              <w:tab w:val="clear" w:pos="708" w:leader="none"/>
              <w:tab w:val="right" w:pos="9911" w:leader="dot"/>
            </w:tabs>
          </w:pPr>
          <w:r/>
          <w:hyperlink w:tooltip="#_Toc18" w:anchor="_Toc18" w:history="1">
            <w:r>
              <w:rPr>
                <w:rStyle w:val="915"/>
                <w:vanish w:val="0"/>
              </w:rPr>
              <w:t xml:space="preserve"> </w:t>
            </w:r>
            <w:r>
              <w:fldChar w:fldCharType="begin"/>
            </w:r>
            <w:r>
              <w:instrText xml:space="preserve">PAGEREF _Toc18 \h</w:instrText>
            </w:r>
            <w:r>
              <w:fldChar w:fldCharType="separate"/>
            </w:r>
            <w:r>
              <w:rPr>
                <w:rStyle w:val="915"/>
              </w:rPr>
              <w:t xml:space="preserve">4. Требования к документации по ценообразованию на этапе заключения (исполнения) договора</w:t>
              <w:tab/>
              <w:t xml:space="preserve">15</w:t>
            </w:r>
            <w:r>
              <w:fldChar w:fldCharType="end"/>
            </w:r>
          </w:hyperlink>
          <w:r/>
          <w:r/>
        </w:p>
        <w:p>
          <w:pPr>
            <w:pStyle w:val="944"/>
            <w:tabs>
              <w:tab w:val="clear" w:pos="708" w:leader="none"/>
              <w:tab w:val="right" w:pos="9911" w:leader="dot"/>
            </w:tabs>
            <w:rPr>
              <w:iCs/>
              <w:caps/>
            </w:rPr>
          </w:pPr>
          <w:r/>
          <w:hyperlink w:tooltip="#_Toc19" w:anchor="_Toc19" w:history="1">
            <w:r>
              <w:rPr>
                <w:rStyle w:val="915"/>
                <w:iCs/>
                <w:vanish w:val="0"/>
              </w:rPr>
              <w:t xml:space="preserve">5. Приложения</w:t>
            </w:r>
            <w:r>
              <w:rPr>
                <w:rStyle w:val="915"/>
              </w:rPr>
              <w:tab/>
              <w:t xml:space="preserve">1</w:t>
            </w:r>
          </w:hyperlink>
          <w:r>
            <w:t xml:space="preserve">6</w:t>
          </w:r>
          <w:r>
            <w:fldChar w:fldCharType="end"/>
          </w:r>
          <w:r>
            <w:rPr>
              <w:iCs/>
              <w:caps/>
            </w:rPr>
          </w:r>
        </w:p>
      </w:sdtContent>
    </w:sdt>
    <w:p>
      <w:pPr>
        <w:pStyle w:val="843"/>
        <w:ind w:left="0" w:firstLine="0"/>
        <w:tabs>
          <w:tab w:val="clear" w:pos="0" w:leader="none"/>
        </w:tabs>
        <w:rPr>
          <w:b w:val="0"/>
          <w:i/>
        </w:rPr>
      </w:pPr>
      <w:r>
        <w:rPr>
          <w:b w:val="0"/>
          <w:i/>
        </w:rPr>
      </w:r>
      <w:r>
        <w:rPr>
          <w:b w:val="0"/>
          <w:i/>
        </w:rPr>
      </w:r>
    </w:p>
    <w:p>
      <w:pPr>
        <w:pStyle w:val="841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 w:clear="all"/>
      </w:r>
      <w:r>
        <w:rPr>
          <w:rFonts w:eastAsia="Calibri"/>
          <w:b/>
          <w:i/>
          <w:sz w:val="24"/>
          <w:szCs w:val="24"/>
        </w:rPr>
      </w:r>
    </w:p>
    <w:p>
      <w:pPr>
        <w:pStyle w:val="842"/>
        <w:numPr>
          <w:ilvl w:val="0"/>
          <w:numId w:val="3"/>
        </w:numPr>
        <w:ind w:left="357" w:hanging="357"/>
        <w:jc w:val="center"/>
        <w:keepLines/>
        <w:rPr>
          <w:caps/>
        </w:rPr>
      </w:pPr>
      <w:r/>
      <w:bookmarkStart w:id="0" w:name="_Toc1"/>
      <w:r>
        <w:t xml:space="preserve">Общие сведения</w:t>
      </w:r>
      <w:bookmarkEnd w:id="0"/>
      <w:r/>
      <w:r>
        <w:rPr>
          <w:caps/>
        </w:rPr>
      </w:r>
    </w:p>
    <w:p>
      <w:pPr>
        <w:pStyle w:val="845"/>
        <w:numPr>
          <w:ilvl w:val="1"/>
          <w:numId w:val="3"/>
        </w:numPr>
      </w:pPr>
      <w:r/>
      <w:bookmarkStart w:id="1" w:name="_Toc2"/>
      <w:r>
        <w:t xml:space="preserve">Обозначения и сокращения</w:t>
      </w:r>
      <w:bookmarkEnd w:id="1"/>
      <w:r/>
      <w:r/>
    </w:p>
    <w:p>
      <w:pPr>
        <w:pStyle w:val="841"/>
        <w:rPr>
          <w:rStyle w:val="902"/>
          <w:b w:val="0"/>
          <w:bCs/>
          <w:iCs/>
          <w:sz w:val="26"/>
          <w:szCs w:val="26"/>
        </w:rPr>
      </w:pPr>
      <w:r>
        <w:rPr>
          <w:b w:val="0"/>
          <w:bCs/>
          <w:iCs/>
          <w:sz w:val="26"/>
          <w:szCs w:val="26"/>
        </w:rPr>
      </w:r>
      <w:r>
        <w:rPr>
          <w:rStyle w:val="902"/>
          <w:b w:val="0"/>
          <w:bCs/>
          <w:iCs/>
          <w:sz w:val="26"/>
          <w:szCs w:val="26"/>
        </w:rPr>
      </w:r>
    </w:p>
    <w:p>
      <w:pPr>
        <w:pStyle w:val="841"/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54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227"/>
        <w:gridCol w:w="7626"/>
      </w:tblGrid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7" w:type="dxa"/>
            <w:textDirection w:val="lrTb"/>
            <w:noWrap w:val="false"/>
          </w:tcPr>
          <w:p>
            <w:pPr>
              <w:pStyle w:val="841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</w:t>
            </w:r>
            <w:r>
              <w:rPr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6" w:type="dxa"/>
            <w:textDirection w:val="lrTb"/>
            <w:noWrap w:val="false"/>
          </w:tcPr>
          <w:p>
            <w:pPr>
              <w:pStyle w:val="841"/>
              <w:jc w:val="both"/>
              <w:widowControl w:val="off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Государственный стандарт;</w:t>
            </w:r>
            <w:r>
              <w:rPr>
                <w:bCs/>
                <w:iCs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7" w:type="dxa"/>
            <w:textDirection w:val="lrTb"/>
            <w:noWrap w:val="false"/>
          </w:tcPr>
          <w:p>
            <w:pPr>
              <w:pStyle w:val="841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КС-2</w:t>
            </w:r>
            <w:r>
              <w:rPr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6" w:type="dxa"/>
            <w:textDirection w:val="lrTb"/>
            <w:noWrap w:val="false"/>
          </w:tcPr>
          <w:p>
            <w:pPr>
              <w:pStyle w:val="841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 о приемке выполненных работ (форма № КС-2);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7" w:type="dxa"/>
            <w:textDirection w:val="lrTb"/>
            <w:noWrap w:val="false"/>
          </w:tcPr>
          <w:p>
            <w:pPr>
              <w:pStyle w:val="841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КС-3</w:t>
            </w:r>
            <w:r>
              <w:rPr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6" w:type="dxa"/>
            <w:textDirection w:val="lrTb"/>
            <w:noWrap w:val="false"/>
          </w:tcPr>
          <w:p>
            <w:pPr>
              <w:pStyle w:val="841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справка о стоимости выполненных работ и затрат (форма № КС-3);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7" w:type="dxa"/>
            <w:textDirection w:val="lrTb"/>
            <w:noWrap w:val="false"/>
          </w:tcPr>
          <w:p>
            <w:pPr>
              <w:pStyle w:val="841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НТД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6" w:type="dxa"/>
            <w:textDirection w:val="lrTb"/>
            <w:noWrap w:val="false"/>
          </w:tcPr>
          <w:p>
            <w:pPr>
              <w:pStyle w:val="841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Нормативно-техническая документация;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7" w:type="dxa"/>
            <w:textDirection w:val="lrTb"/>
            <w:noWrap w:val="false"/>
          </w:tcPr>
          <w:p>
            <w:pPr>
              <w:pStyle w:val="841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МТР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6" w:type="dxa"/>
            <w:textDirection w:val="lrTb"/>
            <w:noWrap w:val="false"/>
          </w:tcPr>
          <w:p>
            <w:pPr>
              <w:pStyle w:val="841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Материально-технические ресурсы;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7" w:type="dxa"/>
            <w:textDirection w:val="lrTb"/>
            <w:noWrap w:val="false"/>
          </w:tcPr>
          <w:p>
            <w:pPr>
              <w:pStyle w:val="841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АО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6" w:type="dxa"/>
            <w:textDirection w:val="lrTb"/>
            <w:noWrap w:val="false"/>
          </w:tcPr>
          <w:p>
            <w:pPr>
              <w:pStyle w:val="841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Акционерное общество;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7" w:type="dxa"/>
            <w:textDirection w:val="lrTb"/>
            <w:noWrap w:val="false"/>
          </w:tcPr>
          <w:p>
            <w:pPr>
              <w:pStyle w:val="841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ППР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6" w:type="dxa"/>
            <w:textDirection w:val="lrTb"/>
            <w:noWrap w:val="false"/>
          </w:tcPr>
          <w:p>
            <w:pPr>
              <w:pStyle w:val="841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производства работ;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7" w:type="dxa"/>
            <w:textDirection w:val="lrTb"/>
            <w:noWrap w:val="false"/>
          </w:tcPr>
          <w:p>
            <w:pPr>
              <w:pStyle w:val="841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ПТБ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6" w:type="dxa"/>
            <w:textDirection w:val="lrTb"/>
            <w:noWrap w:val="false"/>
          </w:tcPr>
          <w:p>
            <w:pPr>
              <w:pStyle w:val="841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техники безопасности;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7" w:type="dxa"/>
            <w:textDirection w:val="lrTb"/>
            <w:noWrap w:val="false"/>
          </w:tcPr>
          <w:p>
            <w:pPr>
              <w:pStyle w:val="841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РД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6" w:type="dxa"/>
            <w:textDirection w:val="lrTb"/>
            <w:noWrap w:val="false"/>
          </w:tcPr>
          <w:p>
            <w:pPr>
              <w:pStyle w:val="841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руководящий документ;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7" w:type="dxa"/>
            <w:textDirection w:val="lrTb"/>
            <w:noWrap w:val="false"/>
          </w:tcPr>
          <w:p>
            <w:pPr>
              <w:pStyle w:val="841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РФ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6" w:type="dxa"/>
            <w:textDirection w:val="lrTb"/>
            <w:noWrap w:val="false"/>
          </w:tcPr>
          <w:p>
            <w:pPr>
              <w:pStyle w:val="841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Российская Федерация;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7" w:type="dxa"/>
            <w:textDirection w:val="lrTb"/>
            <w:noWrap w:val="false"/>
          </w:tcPr>
          <w:p>
            <w:pPr>
              <w:pStyle w:val="841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6" w:type="dxa"/>
            <w:textDirection w:val="lrTb"/>
            <w:noWrap w:val="false"/>
          </w:tcPr>
          <w:p>
            <w:pPr>
              <w:pStyle w:val="841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строительные нормы и правила;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7" w:type="dxa"/>
            <w:textDirection w:val="lrTb"/>
            <w:noWrap w:val="false"/>
          </w:tcPr>
          <w:p>
            <w:pPr>
              <w:pStyle w:val="841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6" w:type="dxa"/>
            <w:textDirection w:val="lrTb"/>
            <w:noWrap w:val="false"/>
          </w:tcPr>
          <w:p>
            <w:pPr>
              <w:pStyle w:val="841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Свод правил;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7" w:type="dxa"/>
            <w:textDirection w:val="lrTb"/>
            <w:noWrap w:val="false"/>
          </w:tcPr>
          <w:p>
            <w:pPr>
              <w:pStyle w:val="841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6" w:type="dxa"/>
            <w:textDirection w:val="lrTb"/>
            <w:noWrap w:val="false"/>
          </w:tcPr>
          <w:p>
            <w:pPr>
              <w:pStyle w:val="841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требования;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7" w:type="dxa"/>
            <w:textDirection w:val="lrTb"/>
            <w:noWrap w:val="false"/>
          </w:tcPr>
          <w:p>
            <w:pPr>
              <w:pStyle w:val="841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ТУ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6" w:type="dxa"/>
            <w:textDirection w:val="lrTb"/>
            <w:noWrap w:val="false"/>
          </w:tcPr>
          <w:p>
            <w:pPr>
              <w:pStyle w:val="841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условия;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7" w:type="dxa"/>
            <w:textDirection w:val="lrTb"/>
            <w:noWrap w:val="false"/>
          </w:tcPr>
          <w:p>
            <w:pPr>
              <w:pStyle w:val="841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ЛНА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6" w:type="dxa"/>
            <w:textDirection w:val="lrTb"/>
            <w:noWrap w:val="false"/>
          </w:tcPr>
          <w:p>
            <w:pPr>
              <w:pStyle w:val="841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Локальный нормативный акт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7" w:type="dxa"/>
            <w:textDirection w:val="lrTb"/>
            <w:noWrap w:val="false"/>
          </w:tcPr>
          <w:p>
            <w:pPr>
              <w:pStyle w:val="841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pdf – portable document format</w:t>
            </w:r>
            <w:r>
              <w:rPr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6" w:type="dxa"/>
            <w:textDirection w:val="lrTb"/>
            <w:noWrap w:val="false"/>
          </w:tcPr>
          <w:p>
            <w:pPr>
              <w:pStyle w:val="841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формат файла электронного документа;</w:t>
            </w:r>
            <w:r>
              <w:rPr>
                <w:sz w:val="24"/>
                <w:szCs w:val="24"/>
              </w:rPr>
            </w:r>
          </w:p>
          <w:p>
            <w:pPr>
              <w:pStyle w:val="841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41"/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widowControl w:val="off"/>
        <w:tabs>
          <w:tab w:val="left" w:pos="426" w:leader="none"/>
          <w:tab w:val="clear" w:pos="708" w:leader="none"/>
          <w:tab w:val="left" w:pos="368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pStyle w:val="841"/>
        <w:widowControl w:val="off"/>
        <w:tabs>
          <w:tab w:val="left" w:pos="426" w:leader="none"/>
          <w:tab w:val="clear" w:pos="708" w:leader="none"/>
          <w:tab w:val="left" w:pos="368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pStyle w:val="841"/>
        <w:widowControl w:val="off"/>
        <w:tabs>
          <w:tab w:val="left" w:pos="426" w:leader="none"/>
          <w:tab w:val="clear" w:pos="708" w:leader="none"/>
          <w:tab w:val="left" w:pos="368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pStyle w:val="841"/>
        <w:widowControl w:val="off"/>
        <w:tabs>
          <w:tab w:val="left" w:pos="426" w:leader="none"/>
          <w:tab w:val="clear" w:pos="708" w:leader="none"/>
          <w:tab w:val="left" w:pos="368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pStyle w:val="841"/>
        <w:widowControl w:val="off"/>
        <w:tabs>
          <w:tab w:val="left" w:pos="426" w:leader="none"/>
          <w:tab w:val="clear" w:pos="708" w:leader="none"/>
          <w:tab w:val="left" w:pos="368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pStyle w:val="841"/>
        <w:widowControl w:val="off"/>
        <w:tabs>
          <w:tab w:val="left" w:pos="426" w:leader="none"/>
          <w:tab w:val="clear" w:pos="708" w:leader="none"/>
          <w:tab w:val="left" w:pos="368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pStyle w:val="841"/>
        <w:widowControl w:val="off"/>
        <w:tabs>
          <w:tab w:val="left" w:pos="426" w:leader="none"/>
          <w:tab w:val="clear" w:pos="708" w:leader="none"/>
          <w:tab w:val="left" w:pos="368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pStyle w:val="841"/>
        <w:widowControl w:val="off"/>
        <w:tabs>
          <w:tab w:val="left" w:pos="426" w:leader="none"/>
          <w:tab w:val="clear" w:pos="708" w:leader="none"/>
          <w:tab w:val="left" w:pos="368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pStyle w:val="841"/>
        <w:widowControl w:val="off"/>
        <w:tabs>
          <w:tab w:val="left" w:pos="426" w:leader="none"/>
          <w:tab w:val="clear" w:pos="708" w:leader="none"/>
          <w:tab w:val="left" w:pos="368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pStyle w:val="841"/>
        <w:widowControl w:val="off"/>
        <w:tabs>
          <w:tab w:val="left" w:pos="426" w:leader="none"/>
          <w:tab w:val="clear" w:pos="708" w:leader="none"/>
          <w:tab w:val="left" w:pos="368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841"/>
        <w:widowControl w:val="off"/>
        <w:tabs>
          <w:tab w:val="left" w:pos="426" w:leader="none"/>
          <w:tab w:val="clear" w:pos="708" w:leader="none"/>
          <w:tab w:val="left" w:pos="368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845"/>
        <w:numPr>
          <w:ilvl w:val="1"/>
          <w:numId w:val="3"/>
        </w:numPr>
        <w:rPr>
          <w:b w:val="0"/>
          <w:bCs w:val="0"/>
        </w:rPr>
      </w:pPr>
      <w:r/>
      <w:bookmarkStart w:id="2" w:name="_Toc3"/>
      <w:r>
        <w:rPr>
          <w:b w:val="0"/>
          <w:bCs w:val="0"/>
        </w:rPr>
        <w:t xml:space="preserve">Наименование закупаемой продукции</w:t>
      </w:r>
      <w:bookmarkEnd w:id="2"/>
      <w:r/>
      <w:r>
        <w:rPr>
          <w:b w:val="0"/>
          <w:bCs w:val="0"/>
        </w:rPr>
      </w:r>
    </w:p>
    <w:p>
      <w:pPr>
        <w:pStyle w:val="841"/>
        <w:widowControl w:val="off"/>
        <w:tabs>
          <w:tab w:val="left" w:pos="426" w:leader="none"/>
          <w:tab w:val="clear" w:pos="708" w:leader="none"/>
          <w:tab w:val="left" w:pos="3686" w:leader="none"/>
        </w:tabs>
      </w:pPr>
      <w:r>
        <w:rPr>
          <w:rFonts w:eastAsia="Calibri"/>
          <w:sz w:val="24"/>
          <w:szCs w:val="24"/>
        </w:rPr>
        <w:t xml:space="preserve">ОКПД2 41.20.20.110 Выполнение работ по текущему ремонту </w:t>
      </w:r>
      <w:r/>
    </w:p>
    <w:p>
      <w:pPr>
        <w:pStyle w:val="841"/>
        <w:widowControl w:val="off"/>
        <w:tabs>
          <w:tab w:val="left" w:pos="426" w:leader="none"/>
          <w:tab w:val="clear" w:pos="708" w:leader="none"/>
          <w:tab w:val="left" w:pos="3686" w:leader="none"/>
        </w:tabs>
      </w:pPr>
      <w:r>
        <w:rPr>
          <w:rFonts w:eastAsia="Calibri"/>
          <w:sz w:val="24"/>
          <w:szCs w:val="24"/>
        </w:rPr>
        <w:t xml:space="preserve">санитарно-бытовых помещений на Хабаровской ТЭЦ-2, г. Хабаровск</w:t>
      </w:r>
      <w:r/>
    </w:p>
    <w:p>
      <w:pPr>
        <w:pStyle w:val="841"/>
        <w:widowControl w:val="off"/>
        <w:tabs>
          <w:tab w:val="left" w:pos="426" w:leader="none"/>
          <w:tab w:val="clear" w:pos="708" w:leader="none"/>
          <w:tab w:val="left" w:pos="3686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45"/>
        <w:numPr>
          <w:ilvl w:val="1"/>
          <w:numId w:val="3"/>
        </w:numPr>
        <w:ind w:left="431" w:hanging="431"/>
        <w:spacing w:before="0" w:after="0"/>
        <w:rPr>
          <w:bCs w:val="0"/>
        </w:rPr>
      </w:pPr>
      <w:r/>
      <w:bookmarkStart w:id="3" w:name="_Toc4"/>
      <w:r>
        <w:rPr>
          <w:b w:val="0"/>
          <w:bCs w:val="0"/>
        </w:rPr>
        <w:t xml:space="preserve">Цель выполнения работ</w:t>
      </w:r>
      <w:bookmarkEnd w:id="3"/>
      <w:r/>
      <w:r>
        <w:rPr>
          <w:bCs w:val="0"/>
        </w:rPr>
      </w:r>
    </w:p>
    <w:p>
      <w:pPr>
        <w:pStyle w:val="842"/>
        <w:numPr>
          <w:ilvl w:val="0"/>
          <w:numId w:val="0"/>
        </w:numPr>
        <w:ind w:left="0" w:firstLine="0"/>
        <w:jc w:val="both"/>
        <w:keepLines/>
        <w:spacing w:before="0" w:after="0"/>
        <w:rPr>
          <w:highlight w:val="none"/>
          <w:shd w:val="clear" w:color="auto" w:fill="auto"/>
        </w:rPr>
      </w:pPr>
      <w:r/>
      <w:bookmarkStart w:id="4" w:name="_Toc5"/>
      <w:r>
        <w:rPr>
          <w:rFonts w:eastAsia="Times New Roman"/>
          <w:b w:val="0"/>
          <w:sz w:val="24"/>
          <w:szCs w:val="24"/>
          <w:shd w:val="clear" w:color="auto" w:fill="auto"/>
        </w:rPr>
        <w:t xml:space="preserve">Выполнение текущего ремонта санитарно-бытовых помещений </w:t>
      </w:r>
      <w:bookmarkEnd w:id="4"/>
      <w:r>
        <w:rPr>
          <w:rFonts w:eastAsia="Times New Roman"/>
          <w:b w:val="0"/>
          <w:sz w:val="24"/>
          <w:szCs w:val="24"/>
          <w:shd w:val="clear" w:color="auto" w:fill="auto"/>
        </w:rPr>
        <w:t xml:space="preserve">с целью приведения помещений в надлежащее нормативное состояние.</w:t>
      </w:r>
      <w:r>
        <w:rPr>
          <w:highlight w:val="none"/>
          <w:shd w:val="clear" w:color="auto" w:fill="auto"/>
        </w:rPr>
      </w:r>
    </w:p>
    <w:p>
      <w:pPr>
        <w:pStyle w:val="842"/>
        <w:numPr>
          <w:ilvl w:val="0"/>
          <w:numId w:val="0"/>
        </w:numPr>
        <w:ind w:left="0" w:firstLine="0"/>
        <w:keepLines/>
        <w:spacing w:before="240" w:after="60"/>
        <w:rPr>
          <w:rStyle w:val="902"/>
          <w:i w:val="0"/>
          <w:sz w:val="24"/>
          <w:szCs w:val="24"/>
        </w:rPr>
      </w:pPr>
      <w:r>
        <w:rPr>
          <w:b w:val="0"/>
          <w:sz w:val="24"/>
          <w:szCs w:val="24"/>
        </w:rPr>
        <w:t xml:space="preserve">Таблица 1. Перечень объектов заказчика</w:t>
      </w:r>
      <w:r>
        <w:rPr>
          <w:rStyle w:val="902"/>
          <w:i w:val="0"/>
          <w:sz w:val="24"/>
          <w:szCs w:val="24"/>
        </w:rPr>
      </w:r>
    </w:p>
    <w:tbl>
      <w:tblPr>
        <w:tblW w:w="9916" w:type="dxa"/>
        <w:tblInd w:w="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373"/>
        <w:gridCol w:w="2592"/>
        <w:gridCol w:w="3266"/>
        <w:gridCol w:w="368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" w:type="dxa"/>
            <w:vAlign w:val="center"/>
            <w:textDirection w:val="lrTb"/>
            <w:noWrap w:val="false"/>
          </w:tcPr>
          <w:p>
            <w:pPr>
              <w:pStyle w:val="841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№</w:t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41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п/п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2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Наименование объекта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6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Расположение объекта </w:t>
            </w:r>
            <w:r>
              <w:rPr>
                <w:sz w:val="22"/>
                <w:szCs w:val="22"/>
                <w:highlight w:val="white"/>
              </w:rPr>
              <w:br w:type="textWrapping" w:clear="all"/>
            </w:r>
            <w:r>
              <w:rPr>
                <w:i/>
                <w:iCs/>
                <w:sz w:val="20"/>
                <w:szCs w:val="20"/>
                <w:highlight w:val="white"/>
              </w:rPr>
              <w:t xml:space="preserve">(место производства работ)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4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sz w:val="22"/>
                <w:szCs w:val="22"/>
                <w:shd w:val="clear" w:color="auto" w:fill="auto"/>
              </w:rPr>
              <w:t xml:space="preserve">Наименование основного средства </w:t>
              <w:br/>
              <w:t xml:space="preserve">(в отношении которого                          выполняются работы)</w:t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41"/>
              <w:widowControl w:val="off"/>
              <w:rPr>
                <w:sz w:val="22"/>
                <w:szCs w:val="22"/>
                <w:highlight w:val="none"/>
                <w:shd w:val="clear" w:color="auto" w:fill="auto"/>
              </w:rPr>
            </w:pPr>
            <w:r>
              <w:rPr>
                <w:sz w:val="22"/>
                <w:szCs w:val="22"/>
                <w:shd w:val="clear" w:color="auto" w:fill="auto"/>
              </w:rPr>
            </w:r>
            <w:r>
              <w:rPr>
                <w:sz w:val="22"/>
                <w:szCs w:val="22"/>
                <w:highlight w:val="none"/>
                <w:shd w:val="clear" w:color="auto" w:fill="auto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1</w:t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2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6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4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b/>
                <w:bCs/>
                <w:sz w:val="24"/>
                <w:szCs w:val="24"/>
                <w:shd w:val="clear" w:color="auto" w:fill="auto"/>
              </w:rPr>
              <w:t xml:space="preserve">4</w:t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blPrEx/>
        <w:trPr>
          <w:trHeight w:val="7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0"/>
                <w:numId w:val="7"/>
              </w:numPr>
              <w:jc w:val="center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2" w:type="dxa"/>
            <w:vAlign w:val="center"/>
            <w:vMerge w:val="restart"/>
            <w:textDirection w:val="lrTb"/>
            <w:noWrap w:val="false"/>
          </w:tcPr>
          <w:p>
            <w:pPr>
              <w:pStyle w:val="841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Санитарно-бытовые            помещения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6" w:type="dxa"/>
            <w:vAlign w:val="center"/>
            <w:vMerge w:val="restart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СП "Хабаровская ТЭЦ-2", 681026, Хабаровский край,                                    г. Хабаровск,                             </w:t>
            </w:r>
            <w:r>
              <w:rPr>
                <w:sz w:val="24"/>
                <w:szCs w:val="24"/>
              </w:rPr>
              <w:t xml:space="preserve">пер. Сормовский,1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4" w:type="dxa"/>
            <w:vAlign w:val="center"/>
            <w:textDirection w:val="lrTb"/>
            <w:noWrap w:val="false"/>
          </w:tcPr>
          <w:p>
            <w:pPr>
              <w:pStyle w:val="841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sz w:val="24"/>
                <w:szCs w:val="24"/>
                <w:shd w:val="clear" w:color="auto" w:fill="auto"/>
              </w:rPr>
              <w:t xml:space="preserve">Пристройка 2-ого этажа                                    (инв.№00000000000000019038)</w:t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blPrEx/>
        <w:trPr>
          <w:trHeight w:val="713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0"/>
                <w:numId w:val="7"/>
              </w:numPr>
              <w:jc w:val="center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2" w:type="dxa"/>
            <w:vAlign w:val="center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6" w:type="dxa"/>
            <w:vAlign w:val="center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4" w:type="dxa"/>
            <w:vAlign w:val="center"/>
            <w:textDirection w:val="lrTb"/>
            <w:noWrap w:val="false"/>
          </w:tcPr>
          <w:p>
            <w:pPr>
              <w:pStyle w:val="841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sz w:val="24"/>
                <w:szCs w:val="24"/>
                <w:shd w:val="clear" w:color="auto" w:fill="auto"/>
              </w:rPr>
              <w:t xml:space="preserve">Здание теплоизоляции ХТЭЦ-2</w:t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41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sz w:val="24"/>
                <w:szCs w:val="24"/>
                <w:shd w:val="clear" w:color="auto" w:fill="auto"/>
              </w:rPr>
              <w:t xml:space="preserve">(инв.№00000000000000017997)</w:t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blPrEx/>
        <w:trPr>
          <w:trHeight w:val="713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0"/>
                <w:numId w:val="7"/>
              </w:numPr>
              <w:jc w:val="center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2" w:type="dxa"/>
            <w:vAlign w:val="center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6" w:type="dxa"/>
            <w:vAlign w:val="center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4" w:type="dxa"/>
            <w:vAlign w:val="center"/>
            <w:textDirection w:val="lrTb"/>
            <w:noWrap w:val="false"/>
          </w:tcPr>
          <w:p>
            <w:pPr>
              <w:pStyle w:val="841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sz w:val="24"/>
                <w:szCs w:val="24"/>
                <w:shd w:val="clear" w:color="auto" w:fill="auto"/>
              </w:rPr>
              <w:t xml:space="preserve">Главный корпус, надземная часть, 1 очередь                            (инв. №00000000000000018908)</w:t>
            </w:r>
            <w:r>
              <w:rPr>
                <w:highlight w:val="none"/>
                <w:shd w:val="clear" w:color="auto" w:fill="auto"/>
              </w:rPr>
            </w:r>
          </w:p>
        </w:tc>
      </w:tr>
    </w:tbl>
    <w:p>
      <w:pPr>
        <w:pStyle w:val="845"/>
        <w:numPr>
          <w:ilvl w:val="1"/>
          <w:numId w:val="3"/>
        </w:numPr>
        <w:jc w:val="both"/>
        <w:rPr>
          <w:b w:val="0"/>
          <w:bCs w:val="0"/>
        </w:rPr>
      </w:pPr>
      <w:r/>
      <w:bookmarkStart w:id="5" w:name="_Toc7"/>
      <w:r/>
      <w:bookmarkStart w:id="6" w:name="_Hlk49857604"/>
      <w:r>
        <w:rPr>
          <w:b w:val="0"/>
          <w:bCs w:val="0"/>
        </w:rPr>
        <w:t xml:space="preserve">Информация в отношении исполнения договора, </w:t>
      </w:r>
      <w:bookmarkStart w:id="7" w:name="_Hlk46492347"/>
      <w:r>
        <w:rPr>
          <w:b w:val="0"/>
          <w:bCs w:val="0"/>
        </w:rPr>
        <w:t xml:space="preserve">которая должна быть учтена при подготовке заявки </w:t>
      </w:r>
      <w:bookmarkEnd w:id="7"/>
      <w:r>
        <w:rPr>
          <w:b w:val="0"/>
          <w:bCs w:val="0"/>
        </w:rPr>
        <w:t xml:space="preserve">(в том числе перечень ресурсов, услуг и документов, предоставляемых заказчиком на этапе исполнения договора):</w:t>
      </w:r>
      <w:bookmarkEnd w:id="5"/>
      <w:r/>
      <w:bookmarkEnd w:id="6"/>
      <w:r/>
      <w:r>
        <w:rPr>
          <w:b w:val="0"/>
          <w:bCs w:val="0"/>
        </w:rPr>
      </w:r>
    </w:p>
    <w:p>
      <w:pPr>
        <w:pStyle w:val="842"/>
        <w:numPr>
          <w:ilvl w:val="0"/>
          <w:numId w:val="0"/>
        </w:numPr>
        <w:ind w:left="0" w:firstLine="0"/>
        <w:rPr>
          <w:b w:val="0"/>
        </w:rPr>
      </w:pPr>
      <w:r>
        <w:rPr>
          <w:sz w:val="24"/>
        </w:rPr>
        <w:t xml:space="preserve">1.4.1  </w:t>
      </w:r>
      <w:r>
        <w:rPr>
          <w:b w:val="0"/>
          <w:sz w:val="24"/>
        </w:rPr>
        <w:t xml:space="preserve">При наличии технической возможности у Заказчика, Заказчик может обеспечить Подрядчику возможность подключения к имеющимся бытовым источникам электроснабжения, водоснабжения, канализации для целей выполнения Работ по Договору.</w:t>
      </w:r>
      <w:r>
        <w:rPr>
          <w:b w:val="0"/>
        </w:rPr>
      </w:r>
    </w:p>
    <w:p>
      <w:pPr>
        <w:pStyle w:val="842"/>
        <w:numPr>
          <w:ilvl w:val="0"/>
          <w:numId w:val="3"/>
        </w:numPr>
        <w:ind w:left="3543" w:hanging="425"/>
        <w:jc w:val="both"/>
        <w:rPr>
          <w:bCs/>
          <w:iCs/>
          <w:caps/>
        </w:rPr>
      </w:pPr>
      <w:r/>
      <w:bookmarkStart w:id="8" w:name="_Toc8"/>
      <w:r>
        <w:rPr>
          <w:bCs/>
          <w:iCs/>
        </w:rPr>
        <w:t xml:space="preserve">Требования к продукции</w:t>
      </w:r>
      <w:bookmarkEnd w:id="8"/>
      <w:r/>
      <w:r>
        <w:rPr>
          <w:bCs/>
          <w:iCs/>
          <w:caps/>
        </w:rPr>
      </w:r>
    </w:p>
    <w:p>
      <w:pPr>
        <w:pStyle w:val="845"/>
        <w:numPr>
          <w:ilvl w:val="1"/>
          <w:numId w:val="3"/>
        </w:numPr>
        <w:rPr>
          <w:b w:val="0"/>
          <w:bCs w:val="0"/>
        </w:rPr>
      </w:pPr>
      <w:r/>
      <w:bookmarkStart w:id="9" w:name="_Toc9"/>
      <w:r>
        <w:rPr>
          <w:b w:val="0"/>
          <w:bCs w:val="0"/>
        </w:rPr>
        <w:t xml:space="preserve">Требования к объемам и срокам выполнения работ</w:t>
      </w:r>
      <w:bookmarkEnd w:id="9"/>
      <w:r/>
      <w:r>
        <w:rPr>
          <w:b w:val="0"/>
          <w:bCs w:val="0"/>
        </w:rPr>
      </w:r>
    </w:p>
    <w:p>
      <w:pPr>
        <w:pStyle w:val="844"/>
        <w:numPr>
          <w:ilvl w:val="2"/>
          <w:numId w:val="3"/>
        </w:numPr>
        <w:ind w:left="709" w:hanging="709"/>
        <w:rPr>
          <w:b w:val="0"/>
        </w:rPr>
      </w:pPr>
      <w:r/>
      <w:bookmarkStart w:id="10" w:name="_Toc10"/>
      <w:r>
        <w:rPr>
          <w:b w:val="0"/>
        </w:rPr>
        <w:t xml:space="preserve">Требования к видам и объемам работ</w:t>
      </w:r>
      <w:bookmarkEnd w:id="10"/>
      <w:r/>
      <w:r>
        <w:rPr>
          <w:b w:val="0"/>
        </w:rPr>
      </w:r>
    </w:p>
    <w:p>
      <w:pPr>
        <w:pStyle w:val="842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/>
      <w:bookmarkStart w:id="11" w:name="_Toc11"/>
      <w:r>
        <w:rPr>
          <w:b w:val="0"/>
          <w:sz w:val="24"/>
          <w:szCs w:val="24"/>
        </w:rPr>
        <w:t xml:space="preserve">Таблица 2. Перечень и объем выполняемых работ</w:t>
      </w:r>
      <w:bookmarkEnd w:id="11"/>
      <w:r/>
      <w:r>
        <w:rPr>
          <w:sz w:val="24"/>
          <w:szCs w:val="24"/>
        </w:rPr>
      </w:r>
    </w:p>
    <w:tbl>
      <w:tblPr>
        <w:tblW w:w="10104" w:type="dxa"/>
        <w:tblInd w:w="18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837"/>
        <w:gridCol w:w="4373"/>
        <w:gridCol w:w="1527"/>
        <w:gridCol w:w="336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7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keepNext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jc w:val="center"/>
              <w:keepNext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п/п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73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keepNext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работ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7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keepNext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Единица измерения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6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keepNext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7" w:type="dxa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73" w:type="dxa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7" w:type="dxa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6" w:type="dxa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7" w:type="dxa"/>
            <w:textDirection w:val="lrTb"/>
            <w:noWrap w:val="false"/>
          </w:tcPr>
          <w:p>
            <w:pPr>
              <w:pStyle w:val="960"/>
              <w:numPr>
                <w:ilvl w:val="0"/>
                <w:numId w:val="0"/>
              </w:numPr>
              <w:ind w:left="0" w:firstLine="0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60"/>
              <w:numPr>
                <w:ilvl w:val="0"/>
                <w:numId w:val="0"/>
              </w:numPr>
              <w:ind w:left="0" w:firstLine="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73" w:type="dxa"/>
            <w:textDirection w:val="lrTb"/>
            <w:noWrap w:val="false"/>
          </w:tcPr>
          <w:p>
            <w:pPr>
              <w:pStyle w:val="841"/>
              <w:widowControl w:val="off"/>
              <w:tabs>
                <w:tab w:val="left" w:pos="426" w:leader="none"/>
                <w:tab w:val="clear" w:pos="708" w:leader="none"/>
                <w:tab w:val="left" w:pos="3686" w:leader="none"/>
              </w:tabs>
              <w:rPr>
                <w:sz w:val="22"/>
                <w:szCs w:val="22"/>
                <w:highlight w:val="green"/>
              </w:rPr>
            </w:pPr>
            <w:r>
              <w:rPr>
                <w:rFonts w:eastAsia="Calibri"/>
                <w:sz w:val="22"/>
                <w:szCs w:val="22"/>
              </w:rPr>
              <w:t xml:space="preserve">Выполнение работ по текущему ремонту санитарно-бытовых помещений на                   Хабаровской ТЭЦ</w:t>
            </w:r>
            <w:r>
              <w:rPr>
                <w:rFonts w:eastAsia="Calibri"/>
                <w:sz w:val="22"/>
                <w:szCs w:val="22"/>
                <w:shd w:val="clear" w:color="auto" w:fill="auto"/>
              </w:rPr>
              <w:t xml:space="preserve">-2, г. Хабаровск</w:t>
            </w:r>
            <w:r>
              <w:rPr>
                <w:sz w:val="22"/>
                <w:szCs w:val="22"/>
                <w:highlight w:val="gree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7" w:type="dxa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усл. ед.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6" w:type="dxa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соответствии с ведомостью объемов работ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(Приложение №2 к ТТ)</w:t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844"/>
        <w:numPr>
          <w:ilvl w:val="2"/>
          <w:numId w:val="3"/>
        </w:numPr>
        <w:ind w:left="709" w:hanging="709"/>
        <w:rPr>
          <w:b w:val="0"/>
        </w:rPr>
      </w:pPr>
      <w:r/>
      <w:bookmarkStart w:id="12" w:name="_Toc12"/>
      <w:r>
        <w:rPr>
          <w:b w:val="0"/>
        </w:rPr>
        <w:t xml:space="preserve">  </w:t>
      </w:r>
      <w:r>
        <w:rPr>
          <w:b w:val="0"/>
        </w:rPr>
        <w:t xml:space="preserve">Требования к срокам выполнения работ</w:t>
      </w:r>
      <w:bookmarkEnd w:id="12"/>
      <w:r/>
      <w:r>
        <w:rPr>
          <w:b w:val="0"/>
        </w:rPr>
      </w:r>
    </w:p>
    <w:p>
      <w:pPr>
        <w:pStyle w:val="842"/>
        <w:numPr>
          <w:ilvl w:val="0"/>
          <w:numId w:val="0"/>
        </w:numPr>
        <w:ind w:left="0" w:firstLine="0"/>
        <w:keepLines/>
        <w:spacing w:before="240" w:after="60"/>
        <w:rPr>
          <w:highlight w:val="none"/>
        </w:rPr>
      </w:pPr>
      <w:r/>
      <w:bookmarkStart w:id="13" w:name="_Toc13"/>
      <w:r>
        <w:rPr>
          <w:b w:val="0"/>
          <w:sz w:val="24"/>
          <w:szCs w:val="24"/>
        </w:rPr>
        <w:t xml:space="preserve">Таблица 3. </w:t>
      </w:r>
      <w:bookmarkStart w:id="14" w:name="_Hlk50465284"/>
      <w:r>
        <w:rPr>
          <w:b w:val="0"/>
          <w:sz w:val="24"/>
          <w:szCs w:val="24"/>
        </w:rPr>
        <w:t xml:space="preserve">Требования по срокам </w:t>
      </w:r>
      <w:bookmarkEnd w:id="14"/>
      <w:r>
        <w:rPr>
          <w:b w:val="0"/>
          <w:sz w:val="24"/>
          <w:szCs w:val="24"/>
        </w:rPr>
        <w:t xml:space="preserve">выполнения работ</w:t>
      </w:r>
      <w:bookmarkEnd w:id="13"/>
      <w:r/>
      <w:r>
        <w:rPr>
          <w:highlight w:val="none"/>
        </w:rPr>
      </w:r>
    </w:p>
    <w:tbl>
      <w:tblPr>
        <w:tblW w:w="10133" w:type="dxa"/>
        <w:tblInd w:w="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15"/>
        <w:gridCol w:w="3806"/>
        <w:gridCol w:w="2977"/>
        <w:gridCol w:w="2234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5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п/п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06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работ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началу срока выполнения работ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окончанию срока выполнения работ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5" w:type="dxa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06" w:type="dxa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976"/>
              <w:jc w:val="center"/>
              <w:keepNext w:val="0"/>
              <w:spacing w:before="40" w:after="40"/>
              <w:widowControl w:val="o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textDirection w:val="lrTb"/>
            <w:noWrap w:val="false"/>
          </w:tcPr>
          <w:p>
            <w:pPr>
              <w:pStyle w:val="976"/>
              <w:jc w:val="center"/>
              <w:keepNext w:val="0"/>
              <w:spacing w:before="40" w:after="40"/>
              <w:widowControl w:val="o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5" w:type="dxa"/>
            <w:textDirection w:val="lrTb"/>
            <w:noWrap w:val="false"/>
          </w:tcPr>
          <w:p>
            <w:pPr>
              <w:pStyle w:val="960"/>
              <w:numPr>
                <w:ilvl w:val="0"/>
                <w:numId w:val="0"/>
              </w:numPr>
              <w:ind w:left="0" w:firstLine="0"/>
              <w:jc w:val="center"/>
              <w:widowControl w:val="off"/>
              <w:rPr>
                <w:sz w:val="22"/>
                <w:szCs w:val="22"/>
                <w:highlight w:val="none"/>
                <w:shd w:val="clear" w:color="auto" w:fill="auto"/>
              </w:rPr>
            </w:pPr>
            <w:r>
              <w:rPr>
                <w:sz w:val="22"/>
                <w:szCs w:val="22"/>
                <w:shd w:val="clear" w:color="auto" w:fill="auto"/>
              </w:rPr>
            </w:r>
            <w:r>
              <w:rPr>
                <w:sz w:val="22"/>
                <w:szCs w:val="22"/>
                <w:highlight w:val="none"/>
                <w:shd w:val="clear" w:color="auto" w:fill="auto"/>
              </w:rPr>
            </w:r>
          </w:p>
          <w:p>
            <w:pPr>
              <w:pStyle w:val="960"/>
              <w:numPr>
                <w:ilvl w:val="0"/>
                <w:numId w:val="0"/>
              </w:numPr>
              <w:ind w:left="0" w:firstLine="0"/>
              <w:jc w:val="center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sz w:val="22"/>
                <w:szCs w:val="22"/>
                <w:shd w:val="clear" w:color="auto" w:fill="auto"/>
              </w:rPr>
              <w:t xml:space="preserve">1</w:t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06" w:type="dxa"/>
            <w:textDirection w:val="lrTb"/>
            <w:noWrap w:val="false"/>
          </w:tcPr>
          <w:p>
            <w:pPr>
              <w:pStyle w:val="841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sz w:val="22"/>
                <w:szCs w:val="22"/>
                <w:shd w:val="clear" w:color="auto" w:fill="auto"/>
              </w:rPr>
              <w:t xml:space="preserve">Выполнение работ по текущему            ремонту санитарно-бытовых                помещений на Хабаровской ТЭЦ-2,                  г. Хабаровск</w:t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841"/>
              <w:ind w:firstLine="180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ind w:firstLine="180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даты заключения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ind w:firstLine="180"/>
              <w:jc w:val="center"/>
              <w:widowControl w:val="off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договора</w:t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4" w:type="dxa"/>
            <w:textDirection w:val="lrTb"/>
            <w:noWrap w:val="false"/>
          </w:tcPr>
          <w:p>
            <w:pPr>
              <w:pStyle w:val="841"/>
              <w:ind w:firstLine="180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ind w:firstLine="180"/>
              <w:jc w:val="center"/>
              <w:widowControl w:val="off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</w:rPr>
              <w:t xml:space="preserve">31.12.2026</w:t>
            </w:r>
            <w:r>
              <w:rPr>
                <w:sz w:val="22"/>
                <w:szCs w:val="22"/>
                <w:highlight w:val="none"/>
              </w:rPr>
            </w:r>
          </w:p>
        </w:tc>
      </w:tr>
    </w:tbl>
    <w:p>
      <w:pPr>
        <w:sectPr>
          <w:headerReference w:type="default" r:id="rId10"/>
          <w:headerReference w:type="even" r:id="rId11"/>
          <w:headerReference w:type="first" r:id="rId12"/>
          <w:footerReference w:type="default" r:id="rId17"/>
          <w:footnotePr/>
          <w:endnotePr/>
          <w:type w:val="nextPage"/>
          <w:pgSz w:w="11906" w:h="16838" w:orient="portrait"/>
          <w:pgMar w:top="680" w:right="851" w:bottom="1597" w:left="1134" w:header="0" w:footer="992" w:gutter="0"/>
          <w:cols w:num="1" w:sep="0" w:space="1701" w:equalWidth="1"/>
          <w:docGrid w:linePitch="360"/>
        </w:sectPr>
      </w:pPr>
      <w:r/>
      <w:r/>
    </w:p>
    <w:p>
      <w:pPr>
        <w:pStyle w:val="845"/>
        <w:numPr>
          <w:ilvl w:val="1"/>
          <w:numId w:val="3"/>
        </w:numPr>
        <w:rPr>
          <w:b w:val="0"/>
          <w:bCs w:val="0"/>
        </w:rPr>
      </w:pPr>
      <w:r/>
      <w:bookmarkStart w:id="15" w:name="_Toc14"/>
      <w:r>
        <w:rPr>
          <w:b w:val="0"/>
          <w:bCs w:val="0"/>
        </w:rPr>
        <w:t xml:space="preserve">Требования к качеству работ</w:t>
      </w:r>
      <w:bookmarkEnd w:id="15"/>
      <w:r/>
      <w:r>
        <w:rPr>
          <w:b w:val="0"/>
          <w:bCs w:val="0"/>
        </w:rPr>
      </w:r>
    </w:p>
    <w:p>
      <w:pPr>
        <w:pStyle w:val="842"/>
        <w:numPr>
          <w:ilvl w:val="0"/>
          <w:numId w:val="0"/>
        </w:numPr>
        <w:ind w:left="0" w:firstLine="0"/>
        <w:keepLines/>
        <w:spacing w:before="240" w:after="60"/>
        <w:rPr>
          <w:b w:val="0"/>
          <w:sz w:val="24"/>
          <w:szCs w:val="24"/>
        </w:rPr>
      </w:pPr>
      <w:r/>
      <w:bookmarkStart w:id="16" w:name="_Toc15"/>
      <w:r>
        <w:rPr>
          <w:b w:val="0"/>
          <w:sz w:val="24"/>
          <w:szCs w:val="24"/>
        </w:rPr>
        <w:t xml:space="preserve">Таблица 4. Требования к качеству работ :</w:t>
      </w:r>
      <w:bookmarkEnd w:id="16"/>
      <w:r/>
      <w:r>
        <w:rPr>
          <w:b w:val="0"/>
          <w:sz w:val="24"/>
          <w:szCs w:val="24"/>
        </w:rPr>
      </w:r>
    </w:p>
    <w:p>
      <w:pPr>
        <w:pStyle w:val="84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Наименование работ</w:t>
      </w:r>
      <w:r>
        <w:rPr>
          <w:b/>
          <w:bCs/>
          <w:sz w:val="22"/>
          <w:szCs w:val="22"/>
        </w:rPr>
        <w:t xml:space="preserve">: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highlight w:val="white"/>
        </w:rPr>
        <w:t xml:space="preserve">в соответствии с Таблицей 2.</w:t>
      </w:r>
      <w:r>
        <w:rPr>
          <w:sz w:val="24"/>
          <w:szCs w:val="24"/>
        </w:rPr>
      </w:r>
    </w:p>
    <w:tbl>
      <w:tblPr>
        <w:tblW w:w="15139" w:type="dxa"/>
        <w:tblInd w:w="216" w:type="dxa"/>
        <w:tblLayout w:type="fixed"/>
        <w:tblCellMar>
          <w:left w:w="108" w:type="dxa"/>
          <w:top w:w="55" w:type="dxa"/>
          <w:right w:w="108" w:type="dxa"/>
          <w:bottom w:w="55" w:type="dxa"/>
        </w:tblCellMar>
        <w:tblLook w:val="03A0" w:firstRow="1" w:lastRow="0" w:firstColumn="1" w:lastColumn="1" w:noHBand="1" w:noVBand="0"/>
      </w:tblPr>
      <w:tblGrid>
        <w:gridCol w:w="940"/>
        <w:gridCol w:w="3232"/>
        <w:gridCol w:w="1349"/>
        <w:gridCol w:w="4581"/>
        <w:gridCol w:w="3085"/>
        <w:gridCol w:w="195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0" w:type="dxa"/>
            <w:vAlign w:val="center"/>
            <w:vMerge w:val="restart"/>
            <w:textDirection w:val="lrTb"/>
            <w:noWrap w:val="false"/>
          </w:tcPr>
          <w:p>
            <w:pPr>
              <w:pStyle w:val="841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 xml:space="preserve">п/п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32" w:type="dxa"/>
            <w:vAlign w:val="center"/>
            <w:vMerge w:val="restart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параметра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30" w:type="dxa"/>
            <w:vAlign w:val="center"/>
            <w:vMerge w:val="restart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Требование заказчика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7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0" w:type="dxa"/>
            <w:vAlign w:val="center"/>
            <w:vMerge w:val="continue"/>
            <w:textDirection w:val="lrTb"/>
            <w:noWrap w:val="false"/>
          </w:tcPr>
          <w:p>
            <w:pPr>
              <w:pStyle w:val="841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32" w:type="dxa"/>
            <w:vAlign w:val="center"/>
            <w:vMerge w:val="continue"/>
            <w:textDirection w:val="lrTb"/>
            <w:noWrap w:val="false"/>
          </w:tcPr>
          <w:p>
            <w:pPr>
              <w:pStyle w:val="841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30" w:type="dxa"/>
            <w:vAlign w:val="center"/>
            <w:vMerge w:val="continue"/>
            <w:textDirection w:val="lrTb"/>
            <w:noWrap w:val="false"/>
          </w:tcPr>
          <w:p>
            <w:pPr>
              <w:pStyle w:val="841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5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2" w:type="dxa"/>
            <w:vAlign w:val="center"/>
            <w:textDirection w:val="lrTb"/>
            <w:noWrap w:val="false"/>
          </w:tcPr>
          <w:p>
            <w:pPr>
              <w:pStyle w:val="841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0" w:type="dxa"/>
            <w:textDirection w:val="lrTb"/>
            <w:noWrap w:val="false"/>
          </w:tcPr>
          <w:p>
            <w:pPr>
              <w:pStyle w:val="841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32" w:type="dxa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30" w:type="dxa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5" w:type="dxa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2" w:type="dxa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960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162" w:type="dxa"/>
            <w:textDirection w:val="lrTb"/>
            <w:noWrap w:val="false"/>
          </w:tcPr>
          <w:p>
            <w:pPr>
              <w:pStyle w:val="841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выполнению работ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restart"/>
            <w:textDirection w:val="lrTb"/>
            <w:noWrap w:val="false"/>
          </w:tcPr>
          <w:p>
            <w:pPr>
              <w:pStyle w:val="841"/>
              <w:contextualSpacing/>
              <w:jc w:val="both"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41"/>
              <w:contextualSpacing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contextualSpacing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contextualSpacing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contextualSpacing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contextualSpacing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закупке.</w:t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41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widowControl w:val="off"/>
            </w:pPr>
            <w:r/>
            <w:r/>
          </w:p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restart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960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162" w:type="dxa"/>
            <w:textDirection w:val="lrTb"/>
            <w:noWrap w:val="false"/>
          </w:tcPr>
          <w:p>
            <w:pPr>
              <w:pStyle w:val="841"/>
              <w:spacing w:before="60" w:after="6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Общие требования к выполнению работ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spacing w:before="60" w:after="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960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232" w:type="dxa"/>
            <w:textDirection w:val="lrTb"/>
            <w:noWrap w:val="false"/>
          </w:tcPr>
          <w:p>
            <w:pPr>
              <w:pStyle w:val="841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5930" w:type="dxa"/>
            <w:textDirection w:val="lrTb"/>
            <w:noWrap w:val="false"/>
          </w:tcPr>
          <w:p>
            <w:pPr>
              <w:pStyle w:val="841"/>
              <w:contextualSpacing/>
              <w:ind w:left="142" w:hanging="142"/>
              <w:jc w:val="both"/>
              <w:spacing w:before="0" w:after="60"/>
              <w:widowControl w:val="off"/>
              <w:tabs>
                <w:tab w:val="left" w:pos="182" w:leader="none"/>
                <w:tab w:val="left" w:pos="413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contextualSpacing/>
              <w:ind w:left="142" w:hanging="142"/>
              <w:jc w:val="both"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  <w:highlight w:val="white"/>
              </w:rPr>
              <w:t xml:space="preserve">СТО РусГидро 02.01.62-2021 «Электрические станции и сети. Ремонт и техническое обслуживание оборудования, зданий и сооружений. Организация производственных процессов. Нормы и требования» (приказ АО «ДГК» от 18.01.2022г. №19) (Приложение №4);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contextualSpacing/>
              <w:ind w:left="142" w:hanging="142"/>
              <w:jc w:val="both"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- </w:t>
            </w:r>
            <w:r>
              <w:rPr>
                <w:bCs/>
                <w:sz w:val="22"/>
                <w:szCs w:val="22"/>
                <w:highlight w:val="white"/>
              </w:rPr>
              <w:t xml:space="preserve">СТО 70238424.27.100.017-2009 Тепловые электростанции. Ремонт и техническое обслуживание оборудования, зданий и сооружений. Организация производственных процессов. Нормы и требования</w:t>
            </w:r>
            <w:r>
              <w:rPr>
                <w:sz w:val="22"/>
                <w:szCs w:val="22"/>
                <w:highlight w:val="white"/>
              </w:rPr>
              <w:t xml:space="preserve">;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contextualSpacing/>
              <w:ind w:left="142" w:hanging="142"/>
              <w:jc w:val="both"/>
              <w:spacing w:before="0" w:after="0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  <w:highlight w:val="white"/>
              </w:rPr>
              <w:t xml:space="preserve">СТО 70238424.27.100.003-2008 "Здания и сооружения ТЭС. Организация эксплуатации и технического обслуживания. Нормы и требования";</w:t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60"/>
              <w:numPr>
                <w:ilvl w:val="0"/>
                <w:numId w:val="12"/>
              </w:numPr>
              <w:ind w:left="142" w:hanging="142"/>
              <w:jc w:val="both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СП 48.13330.2019 «Свод правил. Организация строительства» </w:t>
            </w:r>
            <w:r>
              <w:rPr>
                <w:sz w:val="22"/>
                <w:szCs w:val="22"/>
              </w:rPr>
              <w:t xml:space="preserve">(утв. Приказом Минстроя России от 24.12.2019 N 861/пр)</w:t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60"/>
              <w:numPr>
                <w:ilvl w:val="0"/>
                <w:numId w:val="13"/>
              </w:numPr>
              <w:contextualSpacing/>
              <w:ind w:left="142" w:hanging="142"/>
              <w:jc w:val="both"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СП 63.13330.2018 «Бетонные и железобетонные конструкции. Основные положения. СНиП 52-01-2003 (с Изменениями N 1, 2)»;</w:t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60"/>
              <w:numPr>
                <w:ilvl w:val="0"/>
                <w:numId w:val="14"/>
              </w:numPr>
              <w:contextualSpacing/>
              <w:ind w:left="142" w:hanging="142"/>
              <w:jc w:val="both"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</w:t>
            </w:r>
            <w:r>
              <w:rPr>
                <w:spacing w:val="-6"/>
                <w:sz w:val="22"/>
                <w:szCs w:val="22"/>
              </w:rPr>
              <w:t xml:space="preserve">П 68.13330 2017. (ред.от 10.12.2019г). Приемка в эксплуатацию законченных строительством объектов. Основные положения. Актуализированная редакция СНиП 3.01.04-87;</w:t>
            </w:r>
            <w:r>
              <w:rPr>
                <w:spacing w:val="-6"/>
                <w:sz w:val="22"/>
                <w:szCs w:val="22"/>
              </w:rPr>
            </w:r>
          </w:p>
          <w:p>
            <w:pPr>
              <w:pStyle w:val="841"/>
              <w:contextualSpacing/>
              <w:ind w:left="142" w:hanging="142"/>
              <w:jc w:val="both"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pacing w:val="-6"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  <w:highlight w:val="white"/>
              </w:rPr>
              <w:t xml:space="preserve">СП 70.13330.2012 Актуализированная редакция СНиП 3.03.01-87 Несущие и ограждающие конструкции;</w:t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92"/>
              <w:numPr>
                <w:ilvl w:val="0"/>
                <w:numId w:val="11"/>
              </w:numPr>
              <w:ind w:left="142" w:hanging="142"/>
              <w:jc w:val="both"/>
              <w:widowControl w:val="off"/>
              <w:tabs>
                <w:tab w:val="clear" w:pos="708" w:leader="none"/>
                <w:tab w:val="left" w:pos="1134" w:leader="none"/>
              </w:tabs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color w:val="000000"/>
                <w:sz w:val="22"/>
                <w:szCs w:val="22"/>
                <w:highlight w:val="white"/>
                <w:shd w:val="clear" w:color="auto" w:fill="ffffff"/>
              </w:rPr>
              <w:t xml:space="preserve">СП 71.13330.2017 Актуализированная редакция СНиП 3.04.01-87 Изоляционные и отделочные покрытия;</w:t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992"/>
              <w:numPr>
                <w:ilvl w:val="0"/>
                <w:numId w:val="10"/>
              </w:numPr>
              <w:ind w:left="142" w:hanging="142"/>
              <w:jc w:val="both"/>
              <w:widowControl w:val="off"/>
              <w:tabs>
                <w:tab w:val="clear" w:pos="708" w:leader="none"/>
                <w:tab w:val="left" w:pos="1134" w:leader="none"/>
              </w:tabs>
              <w:rPr>
                <w:spacing w:val="-6"/>
                <w:highlight w:val="white"/>
              </w:rPr>
            </w:pPr>
            <w:r>
              <w:rPr>
                <w:spacing w:val="-6"/>
                <w:sz w:val="22"/>
                <w:szCs w:val="22"/>
                <w:highlight w:val="white"/>
                <w:lang w:val="ru-RU" w:eastAsia="ru-RU"/>
              </w:rPr>
              <w:t xml:space="preserve">«Правила организации, технического обслуживания и ремонта объектов электроэнергетики ( утв. Приказом Минэнерго России от 19.12.2023 №1180)</w:t>
            </w:r>
            <w:r>
              <w:rPr>
                <w:spacing w:val="-6"/>
                <w:highlight w:val="white"/>
              </w:rPr>
            </w:r>
          </w:p>
          <w:p>
            <w:pPr>
              <w:pStyle w:val="960"/>
              <w:numPr>
                <w:ilvl w:val="0"/>
                <w:numId w:val="11"/>
              </w:numPr>
              <w:ind w:left="142" w:hanging="142"/>
              <w:jc w:val="both"/>
              <w:widowControl w:val="off"/>
              <w:tabs>
                <w:tab w:val="left" w:pos="182" w:leader="none"/>
                <w:tab w:val="left" w:pos="413" w:leader="none"/>
                <w:tab w:val="clear" w:pos="708" w:leader="none"/>
              </w:tabs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ВСН 214-89 Сборник инструкций по защите от коррозий:</w:t>
            </w:r>
            <w:r>
              <w:rPr>
                <w:iCs/>
                <w:sz w:val="22"/>
                <w:szCs w:val="22"/>
              </w:rPr>
            </w:r>
          </w:p>
          <w:p>
            <w:pPr>
              <w:pStyle w:val="992"/>
              <w:numPr>
                <w:ilvl w:val="0"/>
                <w:numId w:val="11"/>
              </w:numPr>
              <w:ind w:left="142" w:hanging="142"/>
              <w:jc w:val="both"/>
              <w:widowControl w:val="off"/>
              <w:tabs>
                <w:tab w:val="clear" w:pos="708" w:leader="none"/>
                <w:tab w:val="left" w:pos="1134" w:leader="none"/>
              </w:tabs>
              <w:rPr>
                <w:i/>
                <w:iCs/>
                <w:spacing w:val="-6"/>
                <w:sz w:val="22"/>
                <w:szCs w:val="22"/>
              </w:rPr>
            </w:pPr>
            <w:r>
              <w:rPr>
                <w:i/>
                <w:iCs/>
                <w:spacing w:val="-6"/>
                <w:sz w:val="22"/>
                <w:szCs w:val="22"/>
                <w:lang w:val="ru-RU" w:eastAsia="ru-RU"/>
              </w:rPr>
              <w:t xml:space="preserve">Инструкция №2 по подготовке металлических и бетонных поверхностей подлежащих антикоррозийной защите;</w:t>
            </w:r>
            <w:r>
              <w:rPr>
                <w:i/>
                <w:iCs/>
                <w:spacing w:val="-6"/>
                <w:sz w:val="22"/>
                <w:szCs w:val="22"/>
              </w:rPr>
            </w:r>
          </w:p>
          <w:p>
            <w:pPr>
              <w:pStyle w:val="992"/>
              <w:numPr>
                <w:ilvl w:val="0"/>
                <w:numId w:val="11"/>
              </w:numPr>
              <w:contextualSpacing/>
              <w:ind w:left="142" w:hanging="142"/>
              <w:jc w:val="both"/>
              <w:spacing w:before="0" w:after="0"/>
              <w:widowControl w:val="off"/>
              <w:tabs>
                <w:tab w:val="clear" w:pos="708" w:leader="none"/>
                <w:tab w:val="left" w:pos="1134" w:leader="none"/>
              </w:tabs>
              <w:rPr>
                <w:i/>
                <w:iCs/>
                <w:spacing w:val="-6"/>
                <w:sz w:val="22"/>
                <w:szCs w:val="22"/>
                <w:highlight w:val="white"/>
              </w:rPr>
            </w:pPr>
            <w:r>
              <w:rPr>
                <w:i/>
                <w:iCs/>
                <w:spacing w:val="-6"/>
                <w:sz w:val="22"/>
                <w:szCs w:val="22"/>
                <w:lang w:val="ru-RU" w:eastAsia="ru-RU"/>
              </w:rPr>
              <w:t xml:space="preserve">Инструкция №9 по выполн</w:t>
            </w:r>
            <w:r>
              <w:rPr>
                <w:i/>
                <w:iCs/>
                <w:spacing w:val="-6"/>
                <w:sz w:val="22"/>
                <w:szCs w:val="22"/>
                <w:highlight w:val="white"/>
                <w:lang w:val="ru-RU" w:eastAsia="ru-RU"/>
              </w:rPr>
              <w:t xml:space="preserve">ению защитных покрытий химически стойкими лакокрасочными материалами</w:t>
            </w:r>
            <w:r>
              <w:rPr>
                <w:i/>
                <w:iCs/>
                <w:spacing w:val="-6"/>
                <w:sz w:val="22"/>
                <w:szCs w:val="22"/>
                <w:lang w:val="ru-RU" w:eastAsia="ru-RU"/>
              </w:rPr>
              <w:t xml:space="preserve">. </w:t>
            </w:r>
            <w:r>
              <w:rPr>
                <w:i/>
                <w:iCs/>
                <w:sz w:val="20"/>
                <w:szCs w:val="20"/>
              </w:rPr>
              <w:t xml:space="preserve">МУ 34-70155-86;</w:t>
            </w:r>
            <w:r>
              <w:rPr>
                <w:i/>
                <w:iCs/>
                <w:spacing w:val="-6"/>
                <w:sz w:val="22"/>
                <w:szCs w:val="22"/>
                <w:highlight w:val="white"/>
              </w:rPr>
            </w:r>
          </w:p>
          <w:p>
            <w:pPr>
              <w:pStyle w:val="992"/>
              <w:numPr>
                <w:ilvl w:val="0"/>
                <w:numId w:val="11"/>
              </w:numPr>
              <w:contextualSpacing/>
              <w:ind w:left="142" w:hanging="142"/>
              <w:jc w:val="both"/>
              <w:spacing w:before="0" w:after="0"/>
              <w:widowControl w:val="off"/>
              <w:tabs>
                <w:tab w:val="clear" w:pos="708" w:leader="none"/>
                <w:tab w:val="left" w:pos="1134" w:leader="none"/>
              </w:tabs>
              <w:rPr>
                <w:spacing w:val="-6"/>
              </w:rPr>
            </w:pPr>
            <w:r>
              <w:rPr>
                <w:spacing w:val="-6"/>
                <w:sz w:val="22"/>
                <w:szCs w:val="22"/>
                <w:highlight w:val="white"/>
                <w:lang w:val="ru-RU" w:eastAsia="ru-RU"/>
              </w:rPr>
              <w:t xml:space="preserve">РД 153-34.0-21.601-98 «Типовая инструкция по эксплуатации </w:t>
            </w:r>
            <w:r>
              <w:rPr>
                <w:spacing w:val="-6"/>
                <w:sz w:val="22"/>
                <w:szCs w:val="22"/>
                <w:lang w:val="ru-RU" w:eastAsia="ru-RU"/>
              </w:rPr>
              <w:t xml:space="preserve">производственных зданий и сооружений предприятия. Часть 2. Раздел 2. Технология ремонтов зданий и сооружений»;</w:t>
            </w:r>
            <w:r>
              <w:rPr>
                <w:spacing w:val="-6"/>
              </w:rPr>
            </w:r>
          </w:p>
          <w:p>
            <w:pPr>
              <w:pStyle w:val="841"/>
              <w:contextualSpacing/>
              <w:jc w:val="both"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В случае, если </w:t>
            </w:r>
            <w:r>
              <w:rPr>
                <w:sz w:val="22"/>
                <w:szCs w:val="22"/>
              </w:rPr>
              <w:t xml:space="preserve">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contextualSpacing/>
              <w:jc w:val="both"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960"/>
              <w:numPr>
                <w:ilvl w:val="1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162" w:type="dxa"/>
            <w:textDirection w:val="lrTb"/>
            <w:noWrap w:val="false"/>
          </w:tcPr>
          <w:p>
            <w:pPr>
              <w:pStyle w:val="841"/>
              <w:spacing w:before="60" w:after="0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организации работ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960"/>
              <w:numPr>
                <w:ilvl w:val="2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232" w:type="dxa"/>
            <w:textDirection w:val="lrTb"/>
            <w:noWrap w:val="false"/>
          </w:tcPr>
          <w:p>
            <w:pPr>
              <w:pStyle w:val="841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организации процесса выполнения работ:</w:t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5930" w:type="dxa"/>
            <w:textDirection w:val="lrTb"/>
            <w:noWrap w:val="false"/>
          </w:tcPr>
          <w:p>
            <w:pPr>
              <w:pStyle w:val="841"/>
              <w:ind w:firstLine="456"/>
              <w:jc w:val="both"/>
              <w:spacing w:before="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Комплекс организационно–технических мер</w:t>
            </w:r>
            <w:r>
              <w:rPr>
                <w:sz w:val="22"/>
                <w:szCs w:val="22"/>
              </w:rPr>
              <w:t xml:space="preserve">оприятий, выполняемый при подготовке к ремонту, должен обеспечивать планомерное и качественное выполнение ремонтных работ в установленные сроки, качество ремонтных работ и отремонтированного объекта, оптимальное расходование материально-технических и трудо</w:t>
            </w:r>
            <w:r>
              <w:rPr>
                <w:sz w:val="22"/>
                <w:szCs w:val="22"/>
                <w:shd w:val="clear" w:color="auto" w:fill="auto"/>
              </w:rPr>
              <w:t xml:space="preserve">вых ре</w:t>
            </w:r>
            <w:r>
              <w:rPr>
                <w:sz w:val="22"/>
                <w:szCs w:val="22"/>
              </w:rPr>
              <w:t xml:space="preserve">сурсов. Подрядчик разрабатывает планы подготовки к ремонту в соответствии с планами производственных объектов, принятыми к исполнению объемами работ и согласованным участием в материально–техническом обеспечении ремонтных работ.</w:t>
            </w:r>
            <w:r>
              <w:rPr>
                <w:i/>
                <w:iCs/>
                <w:sz w:val="20"/>
                <w:szCs w:val="20"/>
              </w:rPr>
            </w:r>
          </w:p>
          <w:p>
            <w:pPr>
              <w:pStyle w:val="841"/>
              <w:ind w:firstLine="456"/>
              <w:jc w:val="both"/>
              <w:spacing w:before="0" w:after="60"/>
              <w:widowControl w:val="off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объемов работ, предусмотр</w:t>
            </w:r>
            <w:r>
              <w:rPr>
                <w:sz w:val="22"/>
                <w:szCs w:val="22"/>
              </w:rPr>
              <w:t xml:space="preserve">енных ведомостью планируемых работ, оформляются в соответствии с требованиями Правил ТОиР (ведомостью дополнительных работ по ремонту и протоколом исключения работ из ведомости планируемых работ по ремонту), согласовываются с исполнителями и утверждаются т</w:t>
            </w:r>
            <w:r>
              <w:rPr>
                <w:sz w:val="22"/>
                <w:szCs w:val="22"/>
              </w:rPr>
              <w:t xml:space="preserve">ехническим руководителем структурного подразделения, ответственного за непосредственную эксплуатацию производственного объекта. Перечень, форма и сроки передачи ремонтной документации, передаваемой Заказчиком, ответственным за непосредственную эксплуатацию</w:t>
            </w:r>
            <w:r>
              <w:rPr>
                <w:iCs/>
                <w:sz w:val="22"/>
                <w:szCs w:val="22"/>
              </w:rPr>
            </w:r>
          </w:p>
          <w:p>
            <w:pPr>
              <w:pStyle w:val="841"/>
              <w:jc w:val="both"/>
              <w:spacing w:before="0" w:after="60"/>
              <w:widowControl w:val="off"/>
              <w:rPr>
                <w:bCs/>
                <w:i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производственного объекта, определяется условиями договора.</w:t>
            </w:r>
            <w:r>
              <w:rPr>
                <w:bCs/>
                <w:i/>
                <w:sz w:val="20"/>
                <w:szCs w:val="20"/>
              </w:rPr>
            </w:r>
          </w:p>
          <w:p>
            <w:pPr>
              <w:pStyle w:val="841"/>
              <w:ind w:firstLine="456"/>
              <w:jc w:val="both"/>
              <w:spacing w:before="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До начала ремонта Подрядчик:</w:t>
            </w:r>
            <w:r>
              <w:rPr>
                <w:i/>
                <w:iCs/>
                <w:sz w:val="20"/>
                <w:szCs w:val="20"/>
              </w:rPr>
            </w:r>
          </w:p>
          <w:p>
            <w:pPr>
              <w:pStyle w:val="960"/>
              <w:numPr>
                <w:ilvl w:val="0"/>
                <w:numId w:val="19"/>
              </w:numPr>
              <w:contextualSpacing/>
              <w:ind w:left="283" w:hanging="283"/>
              <w:jc w:val="both"/>
              <w:spacing w:before="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проводит проверку выполнения подготовительных работ в соответствии с планом подготовки к ремонту.</w:t>
            </w:r>
            <w:r>
              <w:rPr>
                <w:i/>
                <w:iCs/>
                <w:sz w:val="20"/>
                <w:szCs w:val="20"/>
              </w:rPr>
            </w:r>
          </w:p>
          <w:p>
            <w:pPr>
              <w:pStyle w:val="960"/>
              <w:numPr>
                <w:ilvl w:val="0"/>
                <w:numId w:val="19"/>
              </w:numPr>
              <w:contextualSpacing/>
              <w:ind w:left="283" w:hanging="283"/>
              <w:jc w:val="both"/>
              <w:spacing w:before="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назначает руководителей работ по ремонту отдельных видов работ в соответствии с номенклатурой и объемом работ, принятым по договору;</w:t>
            </w:r>
            <w:r>
              <w:rPr>
                <w:i/>
                <w:iCs/>
                <w:sz w:val="20"/>
                <w:szCs w:val="20"/>
              </w:rPr>
            </w:r>
          </w:p>
          <w:p>
            <w:pPr>
              <w:pStyle w:val="960"/>
              <w:numPr>
                <w:ilvl w:val="0"/>
                <w:numId w:val="19"/>
              </w:numPr>
              <w:contextualSpacing/>
              <w:ind w:left="283" w:hanging="283"/>
              <w:jc w:val="both"/>
              <w:spacing w:before="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назначает лиц, ответственных за соблюдение норм и правил в области охраны труда, электробезопасности, пожарной и промышленной безопасности и материально–техническое обеспечение;</w:t>
            </w:r>
            <w:r>
              <w:rPr>
                <w:i/>
                <w:iCs/>
                <w:sz w:val="20"/>
                <w:szCs w:val="20"/>
              </w:rPr>
            </w:r>
          </w:p>
          <w:p>
            <w:pPr>
              <w:pStyle w:val="960"/>
              <w:numPr>
                <w:ilvl w:val="0"/>
                <w:numId w:val="19"/>
              </w:numPr>
              <w:contextualSpacing/>
              <w:ind w:left="283" w:hanging="283"/>
              <w:jc w:val="both"/>
              <w:spacing w:before="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проверяет удостоверения всех лиц на право выполнения работ при ремонте объекта;</w:t>
            </w:r>
            <w:r>
              <w:rPr>
                <w:i/>
                <w:iCs/>
                <w:sz w:val="20"/>
                <w:szCs w:val="20"/>
              </w:rPr>
            </w:r>
          </w:p>
          <w:p>
            <w:pPr>
              <w:pStyle w:val="960"/>
              <w:numPr>
                <w:ilvl w:val="0"/>
                <w:numId w:val="19"/>
              </w:numPr>
              <w:contextualSpacing/>
              <w:ind w:left="283" w:hanging="283"/>
              <w:jc w:val="both"/>
              <w:spacing w:before="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проверяет выполнение требований допуска ремонтного и командированного персонала, предусмотренного п. 1.2.2 технических требований</w:t>
            </w:r>
            <w:r>
              <w:rPr>
                <w:i/>
                <w:iCs/>
                <w:sz w:val="20"/>
                <w:szCs w:val="20"/>
              </w:rPr>
            </w:r>
          </w:p>
          <w:p>
            <w:pPr>
              <w:pStyle w:val="841"/>
              <w:ind w:firstLine="456"/>
              <w:jc w:val="both"/>
              <w:spacing w:before="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Руководители работ подрядной организации, участвующие в производстве работ совместно с представителями Заказчика, осуществляют входной контроль качеств</w:t>
            </w:r>
            <w:r>
              <w:rPr>
                <w:sz w:val="22"/>
                <w:szCs w:val="22"/>
              </w:rPr>
              <w:t xml:space="preserve">а применяемых материалов,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      </w:r>
            <w:r>
              <w:rPr>
                <w:i/>
                <w:iCs/>
                <w:sz w:val="20"/>
                <w:szCs w:val="20"/>
              </w:rPr>
            </w:r>
          </w:p>
          <w:p>
            <w:pPr>
              <w:pStyle w:val="841"/>
              <w:ind w:firstLine="456"/>
              <w:jc w:val="both"/>
              <w:spacing w:before="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Более подробно требования к организации работ указаны в проекте договора подряда (в том числе в разделе № 2), который включен в состав Документации о закупке</w:t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</w:tr>
      <w:tr>
        <w:tblPrEx/>
        <w:trPr>
          <w:trHeight w:val="2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841"/>
              <w:ind w:left="25" w:firstLine="0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232" w:type="dxa"/>
            <w:textDirection w:val="lrTb"/>
            <w:noWrap w:val="false"/>
          </w:tcPr>
          <w:p>
            <w:pPr>
              <w:pStyle w:val="841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5930" w:type="dxa"/>
            <w:textDirection w:val="lrTb"/>
            <w:noWrap w:val="false"/>
          </w:tcPr>
          <w:p>
            <w:pPr>
              <w:pStyle w:val="841"/>
              <w:ind w:firstLine="456"/>
              <w:jc w:val="both"/>
              <w:spacing w:before="0" w:after="60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sz w:val="22"/>
                <w:szCs w:val="22"/>
                <w:shd w:val="clear" w:color="auto" w:fill="auto"/>
              </w:rPr>
              <w:t xml:space="preserve">Допуск персонала по</w:t>
            </w:r>
            <w:r>
              <w:rPr>
                <w:sz w:val="22"/>
                <w:szCs w:val="22"/>
                <w:shd w:val="clear" w:color="auto" w:fill="auto"/>
              </w:rPr>
              <w:t xml:space="preserve">дрядчика для выполнения работ должен осуществляться в соответствии с Положением 22.1-504-2026 «О допуске персонала подрядных организаций к выполнению работ на объектах АО «ДГК» утвержденного приказом АО «ДГК» №П-ДГК-649 от 22.07.2026г. (Приложение №4 к ТТ)</w:t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41"/>
              <w:jc w:val="both"/>
              <w:spacing w:before="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Инструкция о пропускном и внутриобъектовом режимах на объектах   СП «Хабаровская ТЭЦ-2» АО «ДГК»; с обязательным оформлением необходимых нарядов-допусков (Приложение №4).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Более подробно требования к организации работ указаны в проекте договора подряда (в том числе в разделе № 2), который включен в состав Документации о закупке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960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162" w:type="dxa"/>
            <w:textDirection w:val="lrTb"/>
            <w:noWrap w:val="false"/>
          </w:tcPr>
          <w:p>
            <w:pPr>
              <w:pStyle w:val="841"/>
              <w:jc w:val="both"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Требования к применяемым при выполнении работ материалам</w:t>
            </w:r>
            <w:r>
              <w:rPr>
                <w:bCs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</w:tr>
      <w:tr>
        <w:tblPrEx/>
        <w:trPr>
          <w:trHeight w:val="158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232" w:type="dxa"/>
            <w:textDirection w:val="lrTb"/>
            <w:noWrap w:val="false"/>
          </w:tcPr>
          <w:p>
            <w:pPr>
              <w:pStyle w:val="841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применяемым материалам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5930" w:type="dxa"/>
            <w:textDirection w:val="lrTb"/>
            <w:noWrap w:val="false"/>
          </w:tcPr>
          <w:p>
            <w:pPr>
              <w:pStyle w:val="841"/>
              <w:jc w:val="both"/>
              <w:spacing w:before="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Материалы, необходимые для выполнения работ, приобретаются подрядчиком самостоятельно согласно ведомости материалов, являющейся приложением к настоящим ТТ (Приложение № 3).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 применяемые материалы должны быть новыми и не использованными ранее, соответствовать сертификатам, техническим паспортам и другим документам, удостоверяющим их качество.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contextualSpacing/>
              <w:ind w:left="4" w:firstLine="0"/>
              <w:jc w:val="both"/>
              <w:spacing w:before="0" w:after="0"/>
              <w:widowControl w:val="off"/>
              <w:tabs>
                <w:tab w:val="left" w:pos="309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Подрядчиком в работе могут быть применены эквивалентные материалы,* предварительно согласованные с Заказчиком.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contextualSpacing/>
              <w:ind w:left="4" w:firstLine="0"/>
              <w:jc w:val="both"/>
              <w:spacing w:before="0" w:after="0"/>
              <w:widowControl w:val="off"/>
              <w:tabs>
                <w:tab w:val="left" w:pos="309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случае, если на этапе исполнения договора Подрядчиком, вместо материалов конкретных торговых знаков, марок и/или наименований, указанных в ведомости материалов (Приложение № </w:t>
            </w:r>
            <w:r>
              <w:rPr>
                <w:sz w:val="22"/>
                <w:szCs w:val="22"/>
              </w:rPr>
              <w:t xml:space="preserve">3 к настоящему ТТ), будет применяться эквивалентная продукция*, Подрядчик принимает на себя все затраты по внесению соответствующих изменений проектную и сметную документацию, а также согласованию ее с Заказчиком без увеличения общей стоимости по Договору.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contextualSpacing/>
              <w:ind w:left="4" w:firstLine="0"/>
              <w:jc w:val="both"/>
              <w:spacing w:before="0" w:after="0"/>
              <w:widowControl w:val="off"/>
              <w:tabs>
                <w:tab w:val="left" w:pos="309" w:leader="none"/>
                <w:tab w:val="clear" w:pos="708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*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  <w:t xml:space="preserve">Эквивалентные материалы/продукция - это продукция, которая по техническим и функциональным характеристикам не уступает характеристикам, указанным</w:t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 в документации о закупке, в том числе, по гарантийным срокам и срокам эксплуатации.</w:t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960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162" w:type="dxa"/>
            <w:textDirection w:val="lrTb"/>
            <w:noWrap w:val="false"/>
          </w:tcPr>
          <w:p>
            <w:pPr>
              <w:pStyle w:val="841"/>
              <w:jc w:val="both"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Требования к контролю качества работ и материалов</w:t>
            </w:r>
            <w:r>
              <w:rPr>
                <w:bCs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rStyle w:val="902"/>
                <w:rFonts w:eastAsia="Calibri"/>
                <w:b w:val="0"/>
                <w:iCs/>
                <w:sz w:val="20"/>
                <w:szCs w:val="20"/>
                <w:shd w:val="clear" w:color="auto" w:fill="auto"/>
              </w:rPr>
            </w:pPr>
            <w:r>
              <w:rPr>
                <w:rFonts w:eastAsia="Calibri"/>
                <w:b w:val="0"/>
                <w:iCs/>
                <w:sz w:val="20"/>
                <w:szCs w:val="20"/>
                <w:shd w:val="clear" w:color="auto" w:fill="auto"/>
              </w:rPr>
            </w:r>
            <w:r>
              <w:rPr>
                <w:rStyle w:val="902"/>
                <w:rFonts w:eastAsia="Calibri"/>
                <w:b w:val="0"/>
                <w:iCs/>
                <w:sz w:val="20"/>
                <w:szCs w:val="20"/>
                <w:shd w:val="clear" w:color="auto" w:fill="auto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960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232" w:type="dxa"/>
            <w:textDirection w:val="lrTb"/>
            <w:noWrap w:val="false"/>
          </w:tcPr>
          <w:p>
            <w:pPr>
              <w:pStyle w:val="841"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Контроль качества используемых материалов</w:t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5930" w:type="dxa"/>
            <w:textDirection w:val="lrTb"/>
            <w:noWrap w:val="false"/>
          </w:tcPr>
          <w:p>
            <w:pPr>
              <w:pStyle w:val="841"/>
              <w:contextualSpacing/>
              <w:ind w:firstLine="425"/>
              <w:jc w:val="both"/>
              <w:spacing w:before="0" w:after="60"/>
              <w:widowControl w:val="off"/>
            </w:pPr>
            <w:r>
              <w:rPr>
                <w:sz w:val="22"/>
                <w:szCs w:val="22"/>
                <w:highlight w:val="white"/>
              </w:rPr>
              <w:t xml:space="preserve">Материалы Подрядчика должны иметь сертификаты, паспорта и другие документы, подтверждающие их качество.</w:t>
            </w:r>
            <w:r/>
          </w:p>
          <w:p>
            <w:pPr>
              <w:pStyle w:val="841"/>
              <w:contextualSpacing/>
              <w:jc w:val="both"/>
              <w:spacing w:before="0" w:after="60"/>
              <w:widowControl w:val="off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При осуществлении Подрядчиком входного контроля качества строительных материалов и изделий, поступивших на ремонтную площадку, обязательное нал</w:t>
            </w:r>
            <w:r>
              <w:rPr>
                <w:bCs/>
                <w:sz w:val="22"/>
                <w:szCs w:val="22"/>
                <w:highlight w:val="white"/>
              </w:rPr>
              <w:t xml:space="preserve">ичие и ведение журнала входного учета и контроля качества получаемых материалов. Отсутствие записи о приемке материалов и оборудовании в данном журнале дает основание Заказчику в отказе приемки выполненных работ с использованием соответствующих материалов.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960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232" w:type="dxa"/>
            <w:textDirection w:val="lrTb"/>
            <w:noWrap w:val="false"/>
          </w:tcPr>
          <w:p>
            <w:pPr>
              <w:pStyle w:val="841"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Требования к контролю качества работ</w:t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5930" w:type="dxa"/>
            <w:textDirection w:val="lrTb"/>
            <w:noWrap w:val="false"/>
          </w:tcPr>
          <w:p>
            <w:pPr>
              <w:pStyle w:val="841"/>
              <w:contextualSpacing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Работы должны быть выполнены в полном соответствии  </w:t>
            </w:r>
            <w:r>
              <w:rPr>
                <w:bCs/>
                <w:sz w:val="24"/>
                <w:szCs w:val="24"/>
              </w:rPr>
              <w:t xml:space="preserve">с законом № 184-ФЗ «О техническом регулировании», </w:t>
            </w:r>
            <w:r>
              <w:rPr>
                <w:sz w:val="22"/>
                <w:szCs w:val="22"/>
                <w:highlight w:val="white"/>
              </w:rPr>
              <w:t xml:space="preserve">требованиями государственных стандартов, действующих строительных норм и правил, ПУЭ, НПБ, технических регламентов, санитарных норм и правил.</w:t>
            </w:r>
            <w:r/>
          </w:p>
          <w:p>
            <w:pPr>
              <w:pStyle w:val="841"/>
              <w:contextualSpacing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Приемка в эксплуатацию и контроль качества ремонта должны производиться в соответс</w:t>
            </w:r>
            <w:r>
              <w:rPr>
                <w:sz w:val="22"/>
                <w:szCs w:val="22"/>
                <w:highlight w:val="white"/>
              </w:rPr>
              <w:t xml:space="preserve">твии с разделами №4.2 «Положения об организации контроля и приемке выполненных работ на ремонтируемых объектах, объектах модернизации, реконструкции и технического перевооружения. Определение эффективности воздействия на оборудование АО «ДГК». 21-003-2019»</w:t>
            </w:r>
            <w:r>
              <w:rPr>
                <w:sz w:val="22"/>
                <w:szCs w:val="22"/>
              </w:rPr>
              <w:t xml:space="preserve"> (Приложение №4 к ТТ)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contextualSpacing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Более п</w:t>
            </w:r>
            <w:r>
              <w:rPr>
                <w:sz w:val="22"/>
                <w:szCs w:val="22"/>
                <w:highlight w:val="white"/>
              </w:rPr>
              <w:t xml:space="preserve">одробно требования указаны в проекте договора подряда (в том числе в разделе №2), который включен в состав Документации о закупке.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contextualSpacing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contextualSpacing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841"/>
              <w:contextualSpacing/>
              <w:spacing w:before="60" w:after="60"/>
              <w:widowControl w:val="off"/>
              <w:rPr>
                <w:rFonts w:eastAsia="Calibri"/>
                <w:highlight w:val="white"/>
              </w:rPr>
            </w:pPr>
            <w:r>
              <w:rPr>
                <w:rFonts w:eastAsia="Calibri"/>
                <w:sz w:val="22"/>
                <w:szCs w:val="22"/>
              </w:rPr>
              <w:t xml:space="preserve">1.5.</w:t>
            </w:r>
            <w:r>
              <w:rPr>
                <w:rFonts w:eastAsia="Calibri"/>
                <w:highlight w:val="whit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162" w:type="dxa"/>
            <w:textDirection w:val="lrTb"/>
            <w:noWrap w:val="false"/>
          </w:tcPr>
          <w:p>
            <w:pPr>
              <w:pStyle w:val="841"/>
              <w:jc w:val="both"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Требования к персоналу подрядчика</w:t>
            </w:r>
            <w:r>
              <w:rPr>
                <w:bCs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841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1.5.1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232" w:type="dxa"/>
            <w:textDirection w:val="lrTb"/>
            <w:noWrap w:val="false"/>
          </w:tcPr>
          <w:p>
            <w:pPr>
              <w:pStyle w:val="841"/>
              <w:jc w:val="both"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rFonts w:eastAsia="Calibri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Общие требования</w:t>
            </w:r>
            <w:r>
              <w:rPr>
                <w:rFonts w:eastAsia="Calibri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5930" w:type="dxa"/>
            <w:textDirection w:val="lrTb"/>
            <w:noWrap w:val="false"/>
          </w:tcPr>
          <w:p>
            <w:pPr>
              <w:pStyle w:val="841"/>
              <w:contextualSpacing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Подрядчик должен производить работы квалифицированными специалистами рабочих специальностей и располагать:</w:t>
            </w:r>
            <w:r/>
          </w:p>
          <w:p>
            <w:pPr>
              <w:pStyle w:val="841"/>
              <w:numPr>
                <w:ilvl w:val="0"/>
                <w:numId w:val="20"/>
              </w:numPr>
              <w:contextualSpacing/>
              <w:ind w:left="0" w:firstLine="142"/>
              <w:jc w:val="both"/>
              <w:spacing w:before="0" w:after="0"/>
              <w:widowControl w:val="off"/>
              <w:tabs>
                <w:tab w:val="left" w:pos="425" w:leader="none"/>
                <w:tab w:val="left" w:pos="567" w:leader="none"/>
                <w:tab w:val="clear" w:pos="708" w:leader="none"/>
                <w:tab w:val="left" w:pos="1134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квалифицированной командой ИТР, способной до начала работ на объекте ознакомить производственные бригады с общим объёмом работ, сроком выполнения работ и графиком, правилами внутреннего распорядка, задачами, стоящими перед каждой бригадой:</w:t>
            </w:r>
            <w:r/>
          </w:p>
          <w:p>
            <w:pPr>
              <w:pStyle w:val="841"/>
              <w:numPr>
                <w:ilvl w:val="0"/>
                <w:numId w:val="20"/>
              </w:numPr>
              <w:contextualSpacing/>
              <w:ind w:left="0" w:firstLine="142"/>
              <w:jc w:val="both"/>
              <w:spacing w:before="0" w:after="0"/>
              <w:widowControl w:val="off"/>
              <w:tabs>
                <w:tab w:val="left" w:pos="425" w:leader="none"/>
                <w:tab w:val="left" w:pos="567" w:leader="none"/>
                <w:tab w:val="clear" w:pos="708" w:leader="none"/>
                <w:tab w:val="left" w:pos="1134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достаточным количеством аттестованного персонала, организованного по принципу комплексных специализированных бригад.</w:t>
            </w:r>
            <w:r/>
          </w:p>
          <w:p>
            <w:pPr>
              <w:pStyle w:val="841"/>
              <w:contextualSpacing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Квалификация персонала должна соответствовать видам выполняемых работ.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contextualSpacing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До начала проведения работ в рамках исполнения договора после его заключения подрядчик предоставляет:</w:t>
            </w:r>
            <w:r/>
          </w:p>
          <w:p>
            <w:pPr>
              <w:pStyle w:val="841"/>
              <w:contextualSpacing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список персонала с ука</w:t>
            </w:r>
            <w:r>
              <w:rPr>
                <w:sz w:val="22"/>
                <w:szCs w:val="22"/>
                <w:highlight w:val="white"/>
              </w:rPr>
              <w:t xml:space="preserve">занием сведений  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грузоподъемных, работ                                  с электро-и пневмоинструментом).</w:t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41"/>
              <w:contextualSpacing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Возможно совмещение специальностей.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841"/>
              <w:contextualSpacing/>
              <w:ind w:left="-57" w:firstLine="0"/>
              <w:spacing w:before="60" w:after="60"/>
              <w:widowControl w:val="off"/>
              <w:rPr>
                <w:rFonts w:eastAsia="Calibri"/>
                <w:highlight w:val="white"/>
              </w:rPr>
            </w:pPr>
            <w:r>
              <w:rPr>
                <w:rFonts w:eastAsia="Calibri"/>
                <w:sz w:val="22"/>
                <w:szCs w:val="22"/>
              </w:rPr>
              <w:t xml:space="preserve">1.6</w:t>
            </w:r>
            <w:r>
              <w:rPr>
                <w:rFonts w:eastAsia="Calibri"/>
                <w:highlight w:val="whit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162" w:type="dxa"/>
            <w:textDirection w:val="lrTb"/>
            <w:noWrap w:val="false"/>
          </w:tcPr>
          <w:p>
            <w:pPr>
              <w:pStyle w:val="841"/>
              <w:ind w:left="-57" w:firstLine="0"/>
              <w:spacing w:before="60" w:after="6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Требования к безопасности работ и охране труда</w:t>
            </w:r>
            <w:r>
              <w:rPr>
                <w:bCs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841"/>
              <w:contextualSpacing/>
              <w:ind w:left="-130" w:firstLine="0"/>
              <w:jc w:val="center"/>
              <w:spacing w:before="60" w:after="60"/>
              <w:widowControl w:val="off"/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</w:rPr>
              <w:t xml:space="preserve">1.6.1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232" w:type="dxa"/>
            <w:textDirection w:val="lrTb"/>
            <w:noWrap w:val="false"/>
          </w:tcPr>
          <w:p>
            <w:pPr>
              <w:pStyle w:val="841"/>
              <w:numPr>
                <w:ilvl w:val="0"/>
                <w:numId w:val="0"/>
              </w:numPr>
              <w:ind w:left="0" w:firstLine="0"/>
              <w:spacing w:before="60" w:after="60"/>
              <w:widowControl w:val="off"/>
              <w:rPr>
                <w:sz w:val="22"/>
                <w:szCs w:val="22"/>
                <w:highlight w:val="white"/>
              </w:rPr>
              <w:outlineLvl w:val="2"/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Требования к безопасности выполняемых работ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5930" w:type="dxa"/>
            <w:textDirection w:val="lrTb"/>
            <w:noWrap w:val="false"/>
          </w:tcPr>
          <w:p>
            <w:pPr>
              <w:pStyle w:val="841"/>
              <w:contextualSpacing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2"/>
                <w:szCs w:val="22"/>
              </w:rPr>
            </w:r>
          </w:p>
          <w:p>
            <w:pPr>
              <w:pStyle w:val="960"/>
              <w:numPr>
                <w:ilvl w:val="0"/>
                <w:numId w:val="17"/>
              </w:numPr>
              <w:ind w:left="142" w:hanging="142"/>
              <w:jc w:val="both"/>
              <w:widowControl w:val="off"/>
              <w:tabs>
                <w:tab w:val="left" w:pos="567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 49.13330.2010 «Безопасность труда в строительстве» Часть 1. Общие требования. Приняты и введены в действие Постановлением Госстроя РФ от 23.07.2001 г. №80;</w:t>
            </w:r>
            <w:r>
              <w:rPr>
                <w:sz w:val="22"/>
                <w:szCs w:val="22"/>
              </w:rPr>
            </w:r>
          </w:p>
          <w:p>
            <w:pPr>
              <w:pStyle w:val="1063"/>
              <w:numPr>
                <w:ilvl w:val="0"/>
                <w:numId w:val="16"/>
              </w:numPr>
              <w:ind w:left="142" w:hanging="142"/>
              <w:jc w:val="both"/>
              <w:widowControl w:val="off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 xml:space="preserve">СНиП 12-04-2002 «Безопасность труда в строительстве» Часть 2. Строительное производство»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  <w:p>
            <w:pPr>
              <w:pStyle w:val="841"/>
              <w:contextualSpacing/>
              <w:ind w:firstLine="310"/>
              <w:jc w:val="both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contextualSpacing/>
              <w:ind w:firstLine="310"/>
              <w:jc w:val="both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Более подробно требования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contextualSpacing/>
              <w:ind w:firstLine="310"/>
              <w:jc w:val="both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841"/>
              <w:contextualSpacing/>
              <w:ind w:left="-130" w:firstLine="0"/>
              <w:jc w:val="center"/>
              <w:spacing w:before="60" w:after="60"/>
              <w:widowControl w:val="off"/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  <w:p>
            <w:pPr>
              <w:pStyle w:val="841"/>
              <w:contextualSpacing/>
              <w:ind w:left="-130" w:firstLine="0"/>
              <w:jc w:val="center"/>
              <w:spacing w:before="60" w:after="60"/>
              <w:widowControl w:val="off"/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</w:rPr>
              <w:t xml:space="preserve">1.6.2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232" w:type="dxa"/>
            <w:textDirection w:val="lrTb"/>
            <w:noWrap w:val="false"/>
          </w:tcPr>
          <w:p>
            <w:pPr>
              <w:pStyle w:val="841"/>
              <w:numPr>
                <w:ilvl w:val="0"/>
                <w:numId w:val="0"/>
              </w:numPr>
              <w:ind w:left="0" w:firstLine="0"/>
              <w:spacing w:before="60" w:after="60"/>
              <w:widowControl w:val="off"/>
              <w:rPr>
                <w:rFonts w:eastAsia="Calibri"/>
                <w:highlight w:val="white"/>
              </w:rPr>
              <w:outlineLvl w:val="2"/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Соблюдение требований к пожарной безопасности</w:t>
            </w:r>
            <w:r>
              <w:rPr>
                <w:rFonts w:eastAsia="Calibri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5930" w:type="dxa"/>
            <w:textDirection w:val="lrTb"/>
            <w:noWrap w:val="false"/>
          </w:tcPr>
          <w:p>
            <w:pPr>
              <w:pStyle w:val="841"/>
              <w:contextualSpacing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/>
          </w:p>
          <w:p>
            <w:pPr>
              <w:pStyle w:val="841"/>
              <w:contextualSpacing/>
              <w:jc w:val="both"/>
              <w:spacing w:before="0" w:after="0"/>
              <w:shd w:val="clear" w:color="auto" w:fill="ffffff"/>
              <w:widowControl w:val="off"/>
              <w:tabs>
                <w:tab w:val="left" w:pos="360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Правилах противопожарного режима в Российской Федерации, утверждены Постановлением Правительства РФ от 16.09.2020 № 1479;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contextualSpacing/>
              <w:jc w:val="both"/>
              <w:spacing w:before="0" w:after="0"/>
              <w:shd w:val="clear" w:color="auto" w:fill="ffffff"/>
              <w:widowControl w:val="off"/>
              <w:tabs>
                <w:tab w:val="left" w:pos="360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Федеральный закон №123-ФЗ от 22.07.2008 «Технический регламент о требованиях пожарной безопасности».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contextualSpacing/>
              <w:jc w:val="both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ГОСТ 12.1.004-91* Система стандартов безопасности труда. Пожарная безопасность. Общие требования.</w:t>
            </w:r>
            <w:r>
              <w:rPr>
                <w:sz w:val="22"/>
                <w:szCs w:val="22"/>
              </w:rPr>
            </w:r>
          </w:p>
          <w:p>
            <w:pPr>
              <w:pStyle w:val="992"/>
              <w:numPr>
                <w:ilvl w:val="0"/>
                <w:numId w:val="18"/>
              </w:numPr>
              <w:ind w:left="142" w:hanging="142"/>
              <w:jc w:val="both"/>
              <w:widowControl w:val="off"/>
              <w:tabs>
                <w:tab w:val="clear" w:pos="708" w:leader="none"/>
                <w:tab w:val="left" w:pos="1134" w:leader="none"/>
              </w:tabs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  <w:lang w:val="ru-RU" w:eastAsia="ru-RU"/>
              </w:rPr>
              <w:t xml:space="preserve">СО 22.1-703-2016 Стандарт АО «ДГК». Пожарная безопасность энергопредприятия. Общие требования (Приложение №4).</w:t>
            </w:r>
            <w:r>
              <w:rPr>
                <w:spacing w:val="-6"/>
                <w:sz w:val="22"/>
                <w:szCs w:val="22"/>
              </w:rPr>
            </w:r>
          </w:p>
          <w:p>
            <w:pPr>
              <w:pStyle w:val="841"/>
              <w:contextualSpacing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contextualSpacing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  <w:r/>
          </w:p>
          <w:p>
            <w:pPr>
              <w:pStyle w:val="841"/>
              <w:contextualSpacing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Персональную ответственность за обеспечение пожарной безопасности несёт руководитель подрядной организации или лицо, его замещающее.</w:t>
            </w:r>
            <w:r/>
          </w:p>
          <w:p>
            <w:pPr>
              <w:pStyle w:val="841"/>
              <w:contextualSpacing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Ремонтная площадка должна быть оснащена средствами пожаротушения.</w:t>
            </w:r>
            <w:r/>
          </w:p>
          <w:p>
            <w:pPr>
              <w:pStyle w:val="841"/>
              <w:contextualSpacing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contextualSpacing/>
              <w:ind w:firstLine="283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841"/>
              <w:contextualSpacing/>
              <w:ind w:left="-130" w:firstLine="0"/>
              <w:jc w:val="center"/>
              <w:spacing w:before="60" w:after="60"/>
              <w:widowControl w:val="off"/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</w:rPr>
              <w:t xml:space="preserve">1.6.3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  <w:p>
            <w:pPr>
              <w:pStyle w:val="841"/>
              <w:contextualSpacing/>
              <w:jc w:val="center"/>
              <w:spacing w:before="60" w:after="60"/>
              <w:widowControl w:val="off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  <w:r>
              <w:rPr>
                <w:rFonts w:eastAsia="Calibri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232" w:type="dxa"/>
            <w:textDirection w:val="lrTb"/>
            <w:noWrap w:val="false"/>
          </w:tcPr>
          <w:p>
            <w:pPr>
              <w:pStyle w:val="841"/>
              <w:numPr>
                <w:ilvl w:val="0"/>
                <w:numId w:val="0"/>
              </w:numPr>
              <w:ind w:left="0" w:firstLine="0"/>
              <w:spacing w:before="60" w:after="60"/>
              <w:widowControl w:val="off"/>
              <w:rPr>
                <w:rFonts w:eastAsia="Calibri"/>
                <w:highlight w:val="white"/>
              </w:rPr>
              <w:outlineLvl w:val="2"/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Соблюдение требований к охране окружающей среды</w:t>
            </w:r>
            <w:r>
              <w:rPr>
                <w:rFonts w:eastAsia="Calibri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5930" w:type="dxa"/>
            <w:textDirection w:val="lrTb"/>
            <w:noWrap w:val="false"/>
          </w:tcPr>
          <w:p>
            <w:pPr>
              <w:pStyle w:val="841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i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При выполнении всех строительных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i/>
                <w:sz w:val="20"/>
                <w:szCs w:val="20"/>
              </w:rPr>
            </w:r>
          </w:p>
          <w:p>
            <w:pPr>
              <w:pStyle w:val="841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i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Отходы, строительный мусор должны своевременно вывозиться для дальнейшей утилизации.</w:t>
            </w:r>
            <w:r>
              <w:rPr>
                <w:i/>
                <w:sz w:val="20"/>
                <w:szCs w:val="20"/>
              </w:rPr>
            </w:r>
          </w:p>
          <w:p>
            <w:pPr>
              <w:pStyle w:val="841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i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Мероприятия и работы по охране окружающей среды вести в соответствии:</w:t>
            </w:r>
            <w:r>
              <w:rPr>
                <w:i/>
                <w:sz w:val="20"/>
                <w:szCs w:val="20"/>
              </w:rPr>
            </w:r>
          </w:p>
          <w:p>
            <w:pPr>
              <w:pStyle w:val="841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i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- Федеральный закон от 10.01.2002 № 7-ФЗ «Об охране окружающей среды» (ред. от 02.07.21);</w:t>
            </w:r>
            <w:r>
              <w:rPr>
                <w:i/>
                <w:sz w:val="20"/>
                <w:szCs w:val="20"/>
              </w:rPr>
            </w:r>
          </w:p>
          <w:p>
            <w:pPr>
              <w:pStyle w:val="841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i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- Федеральный закон от 04.05.1999 № 96-ФЗ «Об охране атмосферного воздуха» (ред. от 11.06.2021);</w:t>
            </w:r>
            <w:r>
              <w:rPr>
                <w:i/>
                <w:sz w:val="20"/>
                <w:szCs w:val="20"/>
              </w:rPr>
            </w:r>
          </w:p>
          <w:p>
            <w:pPr>
              <w:pStyle w:val="841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i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- Водный кодекс Российской Федерации;</w:t>
            </w:r>
            <w:r>
              <w:rPr>
                <w:i/>
                <w:sz w:val="20"/>
                <w:szCs w:val="20"/>
              </w:rPr>
            </w:r>
          </w:p>
          <w:p>
            <w:pPr>
              <w:pStyle w:val="841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 .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841"/>
              <w:contextualSpacing/>
              <w:ind w:left="-130" w:firstLine="0"/>
              <w:jc w:val="center"/>
              <w:spacing w:before="60" w:after="60"/>
              <w:widowControl w:val="off"/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  <w:p>
            <w:pPr>
              <w:pStyle w:val="841"/>
              <w:contextualSpacing/>
              <w:ind w:left="-130" w:firstLine="0"/>
              <w:jc w:val="center"/>
              <w:spacing w:before="60" w:after="60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841"/>
              <w:contextualSpacing/>
              <w:ind w:left="-130" w:firstLine="0"/>
              <w:jc w:val="center"/>
              <w:spacing w:before="60" w:after="60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1.6.4</w:t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841"/>
              <w:contextualSpacing/>
              <w:jc w:val="center"/>
              <w:spacing w:before="60" w:after="60"/>
              <w:widowControl w:val="off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  <w:r>
              <w:rPr>
                <w:rFonts w:eastAsia="Calibri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232" w:type="dxa"/>
            <w:textDirection w:val="lrTb"/>
            <w:noWrap w:val="false"/>
          </w:tcPr>
          <w:p>
            <w:pPr>
              <w:pStyle w:val="841"/>
              <w:numPr>
                <w:ilvl w:val="0"/>
                <w:numId w:val="0"/>
              </w:numPr>
              <w:ind w:left="0" w:firstLine="0"/>
              <w:spacing w:before="60" w:after="60"/>
              <w:widowControl w:val="off"/>
              <w:rPr>
                <w:rFonts w:eastAsia="Calibri"/>
                <w:highlight w:val="white"/>
              </w:rPr>
              <w:outlineLvl w:val="2"/>
            </w:pPr>
            <w:r>
              <w:rPr>
                <w:rFonts w:eastAsia="Calibri"/>
                <w:highlight w:val="white"/>
              </w:rPr>
            </w:r>
            <w:r>
              <w:rPr>
                <w:rFonts w:eastAsia="Calibri"/>
                <w:highlight w:val="white"/>
              </w:rPr>
            </w:r>
          </w:p>
          <w:p>
            <w:pPr>
              <w:pStyle w:val="841"/>
              <w:numPr>
                <w:ilvl w:val="0"/>
                <w:numId w:val="0"/>
              </w:numPr>
              <w:ind w:left="0" w:firstLine="0"/>
              <w:spacing w:before="60" w:after="60"/>
              <w:widowControl w:val="off"/>
              <w:rPr>
                <w:rFonts w:eastAsia="Calibri"/>
                <w:sz w:val="22"/>
                <w:szCs w:val="22"/>
              </w:rPr>
              <w:outlineLvl w:val="2"/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Соблюдение требований охраны труда</w:t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5930" w:type="dxa"/>
            <w:textDirection w:val="lrTb"/>
            <w:noWrap w:val="false"/>
          </w:tcPr>
          <w:p>
            <w:pPr>
              <w:pStyle w:val="841"/>
              <w:ind w:firstLine="430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Контроль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проведения ремонтных работ.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ind w:firstLine="430"/>
              <w:jc w:val="both"/>
              <w:widowControl w:val="off"/>
            </w:pPr>
            <w:r>
              <w:rPr>
                <w:sz w:val="22"/>
                <w:szCs w:val="22"/>
                <w:highlight w:val="white"/>
              </w:rPr>
      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</w:t>
            </w:r>
            <w:r/>
          </w:p>
          <w:p>
            <w:pPr>
              <w:pStyle w:val="841"/>
              <w:ind w:firstLine="430"/>
              <w:jc w:val="both"/>
              <w:widowControl w:val="off"/>
            </w:pPr>
            <w:r>
              <w:rPr>
                <w:sz w:val="22"/>
                <w:szCs w:val="22"/>
                <w:highlight w:val="white"/>
              </w:rPr>
              <w:t xml:space="preserve">Организация ремонтной площадки, участков работ и рабочих мест должна обеспечивать безопасность труда работающих на всех этапах выполнения ремонтных работ. Для производства работ в охранной зоне необходимо получить наряд-допуск.</w:t>
            </w:r>
            <w:r/>
          </w:p>
          <w:p>
            <w:pPr>
              <w:pStyle w:val="841"/>
              <w:ind w:firstLine="283"/>
              <w:jc w:val="both"/>
              <w:widowControl w:val="off"/>
              <w:tabs>
                <w:tab w:val="left" w:pos="567" w:leader="none"/>
                <w:tab w:val="clear" w:pos="708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/>
          </w:p>
          <w:p>
            <w:pPr>
              <w:pStyle w:val="841"/>
              <w:numPr>
                <w:ilvl w:val="0"/>
                <w:numId w:val="8"/>
              </w:numPr>
              <w:ind w:left="62" w:firstLine="0"/>
              <w:jc w:val="both"/>
              <w:widowControl w:val="off"/>
              <w:tabs>
                <w:tab w:val="left" w:pos="567" w:leader="none"/>
                <w:tab w:val="clear" w:pos="708" w:leader="none"/>
              </w:tabs>
            </w:pPr>
            <w:r>
              <w:rPr>
                <w:sz w:val="22"/>
                <w:szCs w:val="22"/>
              </w:rPr>
              <w:t xml:space="preserve">Правилах по охране труда при строительстве, реконструкции и ремонте (</w:t>
            </w:r>
            <w:r>
              <w:rPr>
                <w:sz w:val="22"/>
                <w:szCs w:val="22"/>
                <w:highlight w:val="white"/>
              </w:rPr>
              <w:t xml:space="preserve">утверждены</w:t>
            </w:r>
            <w:r>
              <w:rPr>
                <w:sz w:val="22"/>
                <w:szCs w:val="22"/>
              </w:rPr>
              <w:t xml:space="preserve"> приказом Министерства труда и социальной защиты РФ от 11 декабря 2020 г. N 883н);</w:t>
            </w:r>
            <w:r/>
          </w:p>
          <w:p>
            <w:pPr>
              <w:pStyle w:val="841"/>
              <w:numPr>
                <w:ilvl w:val="0"/>
                <w:numId w:val="8"/>
              </w:numPr>
              <w:ind w:left="62" w:firstLine="0"/>
              <w:jc w:val="both"/>
              <w:widowControl w:val="off"/>
              <w:tabs>
                <w:tab w:val="left" w:pos="567" w:leader="none"/>
                <w:tab w:val="clear" w:pos="708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Правилах по охране труда при работе с инструментом и приспособлениями (утверждены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приказом Министерства труда от 27.11.2020 № 835н);</w:t>
            </w:r>
            <w:r/>
          </w:p>
          <w:p>
            <w:pPr>
              <w:pStyle w:val="841"/>
              <w:numPr>
                <w:ilvl w:val="0"/>
                <w:numId w:val="8"/>
              </w:numPr>
              <w:ind w:left="62" w:firstLine="0"/>
              <w:jc w:val="both"/>
              <w:widowControl w:val="off"/>
              <w:tabs>
                <w:tab w:val="left" w:pos="567" w:leader="none"/>
                <w:tab w:val="clear" w:pos="708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Правилах по охране труда при эксплуатации электроустановок, утвержденные Приказом Министерства труда и социальной защиты РФ от 15.12.2020 №903н.</w:t>
            </w:r>
            <w:r/>
          </w:p>
          <w:p>
            <w:pPr>
              <w:pStyle w:val="841"/>
              <w:numPr>
                <w:ilvl w:val="0"/>
                <w:numId w:val="8"/>
              </w:numPr>
              <w:contextualSpacing/>
              <w:ind w:left="62" w:firstLine="0"/>
              <w:jc w:val="both"/>
              <w:spacing w:before="0" w:after="60"/>
              <w:widowControl w:val="off"/>
              <w:tabs>
                <w:tab w:val="left" w:pos="313" w:leader="none"/>
                <w:tab w:val="left" w:pos="413" w:leader="none"/>
                <w:tab w:val="clear" w:pos="708" w:leader="none"/>
              </w:tabs>
            </w:pPr>
            <w:r>
              <w:rPr>
                <w:sz w:val="22"/>
                <w:szCs w:val="22"/>
                <w:highlight w:val="white"/>
              </w:rPr>
              <w:t xml:space="preserve">Правилах при выполнении электросварочных и газосварочных работ (утверждены приказом Министерства труда и социальной защиты Российской Федерации от 11.12.2020г. №884н);</w:t>
            </w:r>
            <w:r/>
          </w:p>
          <w:p>
            <w:pPr>
              <w:pStyle w:val="841"/>
              <w:numPr>
                <w:ilvl w:val="0"/>
                <w:numId w:val="8"/>
              </w:numPr>
              <w:contextualSpacing/>
              <w:ind w:left="62" w:firstLine="0"/>
              <w:jc w:val="both"/>
              <w:spacing w:before="0" w:after="60"/>
              <w:widowControl w:val="off"/>
              <w:tabs>
                <w:tab w:val="left" w:pos="313" w:leader="none"/>
                <w:tab w:val="left" w:pos="413" w:leader="none"/>
                <w:tab w:val="clear" w:pos="708" w:leader="none"/>
              </w:tabs>
            </w:pP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  <w:t xml:space="preserve">равила безопасности на опасных производственных объектах, на которых используются подъемные сооружения (утверждены приказом Федеральной службы по экологическому, технологическому и атомному надзору от 26.11.2020г. №461).</w:t>
            </w:r>
            <w:r/>
          </w:p>
          <w:p>
            <w:pPr>
              <w:pStyle w:val="841"/>
              <w:contextualSpacing/>
              <w:ind w:left="27" w:firstLine="283"/>
              <w:jc w:val="both"/>
              <w:spacing w:before="0" w:after="60"/>
              <w:widowControl w:val="off"/>
              <w:tabs>
                <w:tab w:val="left" w:pos="572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contextualSpacing/>
              <w:ind w:left="27" w:firstLine="283"/>
              <w:jc w:val="both"/>
              <w:spacing w:before="0" w:after="60"/>
              <w:widowControl w:val="off"/>
              <w:tabs>
                <w:tab w:val="left" w:pos="572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960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162" w:type="dxa"/>
            <w:textDirection w:val="lrTb"/>
            <w:noWrap w:val="false"/>
          </w:tcPr>
          <w:p>
            <w:pPr>
              <w:pStyle w:val="841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результатам работ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162" w:type="dxa"/>
            <w:vAlign w:val="center"/>
            <w:textDirection w:val="lrTb"/>
            <w:noWrap w:val="false"/>
          </w:tcPr>
          <w:p>
            <w:pPr>
              <w:pStyle w:val="841"/>
              <w:jc w:val="both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Общие требования к результатам работ</w:t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841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Состояние санитарно-бытовых помещений после ремонта должно соответствовать требованиям ремонтной документации на ремонт в течение гарантийного срока.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1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162" w:type="dxa"/>
            <w:vAlign w:val="center"/>
            <w:textDirection w:val="lrTb"/>
            <w:noWrap w:val="false"/>
          </w:tcPr>
          <w:p>
            <w:pPr>
              <w:pStyle w:val="841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порядку приемки результатов работ</w:t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841"/>
              <w:widowControl w:val="off"/>
              <w:rPr>
                <w:rStyle w:val="902"/>
                <w:b w:val="0"/>
                <w:i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Подробно указаны в проекте договора подряда (в том числе в разделе № 4), который включен в состав Документации о закупке.</w:t>
            </w:r>
            <w:r>
              <w:rPr>
                <w:rStyle w:val="902"/>
                <w:b w:val="0"/>
                <w:i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1"/>
                <w:numId w:val="6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162" w:type="dxa"/>
            <w:vAlign w:val="center"/>
            <w:textDirection w:val="lrTb"/>
            <w:noWrap w:val="false"/>
          </w:tcPr>
          <w:p>
            <w:pPr>
              <w:pStyle w:val="841"/>
              <w:ind w:left="27" w:hanging="27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оформлению документации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841"/>
              <w:ind w:left="79" w:firstLine="0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2.3.1</w:t>
            </w:r>
            <w:bookmarkStart w:id="17" w:name="_Ref54002960"/>
            <w:r/>
            <w:bookmarkEnd w:id="17"/>
            <w:r/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232" w:type="dxa"/>
            <w:textDirection w:val="lrTb"/>
            <w:noWrap w:val="false"/>
          </w:tcPr>
          <w:p>
            <w:pPr>
              <w:pStyle w:val="841"/>
              <w:numPr>
                <w:ilvl w:val="0"/>
                <w:numId w:val="0"/>
              </w:numPr>
              <w:ind w:left="0" w:firstLine="0"/>
              <w:spacing w:before="60" w:after="60"/>
              <w:widowControl w:val="off"/>
              <w:rPr>
                <w:rFonts w:eastAsia="Calibri"/>
                <w:highlight w:val="white"/>
              </w:rPr>
              <w:outlineLvl w:val="2"/>
            </w:pPr>
            <w:r>
              <w:rPr>
                <w:rFonts w:eastAsia="Calibri"/>
                <w:sz w:val="22"/>
                <w:szCs w:val="22"/>
                <w:highlight w:val="white"/>
              </w:rPr>
              <w:t xml:space="preserve">Общие требования к оформлению документации</w:t>
            </w:r>
            <w:r>
              <w:rPr>
                <w:rFonts w:eastAsia="Calibri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5930" w:type="dxa"/>
            <w:textDirection w:val="lrTb"/>
            <w:noWrap w:val="false"/>
          </w:tcPr>
          <w:p>
            <w:pPr>
              <w:pStyle w:val="841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Исполнительная документация должна быть оформлена в соответствии с приказом Министерства строительства и ЖКХ РФ от 16.05.2023 №34</w:t>
            </w:r>
            <w:r>
              <w:rPr>
                <w:sz w:val="22"/>
                <w:szCs w:val="22"/>
                <w:shd w:val="clear" w:color="auto" w:fill="auto"/>
              </w:rPr>
              <w:t xml:space="preserve">4/пр </w:t>
            </w:r>
            <w:r>
              <w:rPr>
                <w:sz w:val="22"/>
                <w:szCs w:val="22"/>
              </w:rPr>
              <w:t xml:space="preserve">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Документы КС2 и КС3 должны быть представле</w:t>
            </w:r>
            <w:r>
              <w:rPr>
                <w:sz w:val="22"/>
                <w:szCs w:val="22"/>
              </w:rPr>
              <w:t xml:space="preserve">ны Заказчику в электронной версии на цифровом носителе в формате *gsfx ПК «ГРАНД Сметы», в формате *.pdf) и на бумажном носителе в 3-х экземплярах, исполнительная документация - в электронном виде (в формате *.pdf) и на бумажном носителе в 3-х экземплярах.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841"/>
              <w:ind w:left="79" w:firstLine="0"/>
              <w:jc w:val="center"/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232" w:type="dxa"/>
            <w:textDirection w:val="lrTb"/>
            <w:noWrap w:val="false"/>
          </w:tcPr>
          <w:p>
            <w:pPr>
              <w:pStyle w:val="841"/>
              <w:widowControl w:val="off"/>
              <w:tabs>
                <w:tab w:val="clear" w:pos="708" w:leader="none"/>
                <w:tab w:val="left" w:pos="850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Состав документации включает в себя, но не ограничивается следующими документами:</w:t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41"/>
              <w:numPr>
                <w:ilvl w:val="0"/>
                <w:numId w:val="0"/>
              </w:numPr>
              <w:ind w:left="0" w:firstLine="0"/>
              <w:spacing w:before="60" w:after="60"/>
              <w:widowControl w:val="off"/>
              <w:rPr>
                <w:rFonts w:eastAsia="Calibri"/>
                <w:sz w:val="22"/>
                <w:szCs w:val="22"/>
                <w:highlight w:val="white"/>
              </w:rPr>
              <w:outlineLvl w:val="2"/>
            </w:pP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5930" w:type="dxa"/>
            <w:textDirection w:val="lrTb"/>
            <w:noWrap w:val="false"/>
          </w:tcPr>
          <w:p>
            <w:pPr>
              <w:pStyle w:val="960"/>
              <w:numPr>
                <w:ilvl w:val="0"/>
                <w:numId w:val="9"/>
              </w:numPr>
              <w:jc w:val="both"/>
              <w:widowControl w:val="off"/>
              <w:tabs>
                <w:tab w:val="clear" w:pos="708" w:leader="none"/>
                <w:tab w:val="left" w:pos="850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rFonts w:cs="Times New Roman"/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кт пред. ремонтного обследования объекта;</w:t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60"/>
              <w:numPr>
                <w:ilvl w:val="0"/>
                <w:numId w:val="9"/>
              </w:numPr>
              <w:jc w:val="both"/>
              <w:widowControl w:val="off"/>
              <w:tabs>
                <w:tab w:val="clear" w:pos="708" w:leader="none"/>
                <w:tab w:val="left" w:pos="850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ведомость дефектов;</w:t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60"/>
              <w:numPr>
                <w:ilvl w:val="0"/>
                <w:numId w:val="9"/>
              </w:numPr>
              <w:jc w:val="both"/>
              <w:widowControl w:val="off"/>
              <w:tabs>
                <w:tab w:val="clear" w:pos="708" w:leader="none"/>
                <w:tab w:val="left" w:pos="850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ведомость планируемых ремонтно-строительных работ;</w:t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60"/>
              <w:numPr>
                <w:ilvl w:val="0"/>
                <w:numId w:val="9"/>
              </w:numPr>
              <w:jc w:val="both"/>
              <w:widowControl w:val="off"/>
              <w:tabs>
                <w:tab w:val="clear" w:pos="708" w:leader="none"/>
                <w:tab w:val="left" w:pos="850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акт готовности объекта к производству ремонтных работ;</w:t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60"/>
              <w:numPr>
                <w:ilvl w:val="0"/>
                <w:numId w:val="9"/>
              </w:numPr>
              <w:jc w:val="both"/>
              <w:widowControl w:val="off"/>
              <w:tabs>
                <w:tab w:val="clear" w:pos="708" w:leader="none"/>
                <w:tab w:val="left" w:pos="850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акт приёмки из ремонта объекта;</w:t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60"/>
              <w:numPr>
                <w:ilvl w:val="0"/>
                <w:numId w:val="9"/>
              </w:numPr>
              <w:jc w:val="both"/>
              <w:widowControl w:val="off"/>
              <w:tabs>
                <w:tab w:val="clear" w:pos="708" w:leader="none"/>
                <w:tab w:val="left" w:pos="850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60"/>
              <w:numPr>
                <w:ilvl w:val="0"/>
                <w:numId w:val="9"/>
              </w:numPr>
              <w:jc w:val="both"/>
              <w:widowControl w:val="off"/>
              <w:tabs>
                <w:tab w:val="clear" w:pos="708" w:leader="none"/>
                <w:tab w:val="left" w:pos="850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акт освидетельствования скрытых работ;</w:t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60"/>
              <w:numPr>
                <w:ilvl w:val="0"/>
                <w:numId w:val="9"/>
              </w:numPr>
              <w:jc w:val="both"/>
              <w:widowControl w:val="off"/>
              <w:tabs>
                <w:tab w:val="clear" w:pos="708" w:leader="none"/>
                <w:tab w:val="left" w:pos="850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исполнительные чертежи, схемы;</w:t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60"/>
              <w:numPr>
                <w:ilvl w:val="0"/>
                <w:numId w:val="9"/>
              </w:numPr>
              <w:jc w:val="both"/>
              <w:widowControl w:val="off"/>
              <w:tabs>
                <w:tab w:val="clear" w:pos="708" w:leader="none"/>
                <w:tab w:val="left" w:pos="850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сертификаты,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60"/>
              <w:numPr>
                <w:ilvl w:val="0"/>
                <w:numId w:val="9"/>
              </w:numPr>
              <w:jc w:val="both"/>
              <w:widowControl w:val="off"/>
              <w:tabs>
                <w:tab w:val="clear" w:pos="708" w:leader="none"/>
                <w:tab w:val="left" w:pos="850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счета-фактуры на материалы, закупаемые Подрядчиком для использования в процессе ремонта;</w:t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60"/>
              <w:numPr>
                <w:ilvl w:val="0"/>
                <w:numId w:val="9"/>
              </w:numPr>
              <w:jc w:val="both"/>
              <w:widowControl w:val="off"/>
              <w:tabs>
                <w:tab w:val="clear" w:pos="708" w:leader="none"/>
                <w:tab w:val="left" w:pos="850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общий журнал работ формы КС-6, специальные журналы работ (соответствующие видам выполняемых работ);</w:t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60"/>
              <w:numPr>
                <w:ilvl w:val="0"/>
                <w:numId w:val="9"/>
              </w:numPr>
              <w:jc w:val="both"/>
              <w:widowControl w:val="off"/>
              <w:tabs>
                <w:tab w:val="clear" w:pos="708" w:leader="none"/>
                <w:tab w:val="left" w:pos="850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фото/видео материалы (при необходимости);</w:t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60"/>
              <w:numPr>
                <w:ilvl w:val="0"/>
                <w:numId w:val="9"/>
              </w:numPr>
              <w:jc w:val="both"/>
              <w:widowControl w:val="off"/>
              <w:tabs>
                <w:tab w:val="clear" w:pos="708" w:leader="none"/>
                <w:tab w:val="left" w:pos="85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</w:t>
            </w:r>
            <w:r>
              <w:rPr>
                <w:sz w:val="22"/>
                <w:szCs w:val="22"/>
                <w:highlight w:val="white"/>
              </w:rPr>
              <w:t xml:space="preserve">ругие документы по усмотрению Сторон с учетом специфики Работ.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ind w:firstLine="283"/>
              <w:jc w:val="both"/>
              <w:widowControl w:val="off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Исполнительная документация должна обеспечивать достоверность и полноту сведений о фактически выполненных Работах.</w:t>
            </w:r>
            <w:r>
              <w:rPr>
                <w:rFonts w:cs="Times New Roman"/>
                <w:sz w:val="22"/>
                <w:szCs w:val="22"/>
              </w:rPr>
            </w:r>
          </w:p>
          <w:p>
            <w:pPr>
              <w:pStyle w:val="841"/>
              <w:ind w:firstLine="283"/>
              <w:jc w:val="both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Более подробно требования к оформлению документации  указаны в проекте договора подряда (в том числе в разделах №2,4), который включен в состав Документации о закупке.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</w:tr>
      <w:tr>
        <w:tblPrEx/>
        <w:trPr>
          <w:trHeight w:val="994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960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 w:val="off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162" w:type="dxa"/>
            <w:vAlign w:val="center"/>
            <w:textDirection w:val="lrTb"/>
            <w:noWrap w:val="false"/>
          </w:tcPr>
          <w:p>
            <w:pPr>
              <w:pStyle w:val="841"/>
              <w:spacing w:before="40" w:after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841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Подробно указаны в проекте договора подряда (в том числе в разделе № 2), который включен в состав Документации о закупке.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960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 w:val="off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162" w:type="dxa"/>
            <w:vAlign w:val="center"/>
            <w:textDirection w:val="lrTb"/>
            <w:noWrap w:val="false"/>
          </w:tcPr>
          <w:p>
            <w:pPr>
              <w:pStyle w:val="841"/>
              <w:jc w:val="both"/>
              <w:spacing w:before="20" w:after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841"/>
              <w:jc w:val="both"/>
              <w:shd w:val="clear" w:color="auto" w:fill="ffffff"/>
              <w:widowControl w:val="off"/>
              <w:tabs>
                <w:tab w:val="clear" w:pos="708" w:leader="none"/>
                <w:tab w:val="left" w:pos="1134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Подробно требования к  ответственности и гарантиям подрядчика указаны в проекте договора подряда (в том числе в разделах №№6;7), которые включены в состав Документации о закупке.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</w:r>
            <w:r>
              <w:rPr>
                <w:b/>
                <w:i/>
                <w:iCs/>
                <w:sz w:val="20"/>
                <w:szCs w:val="20"/>
              </w:rPr>
            </w:r>
          </w:p>
        </w:tc>
      </w:tr>
      <w:tr>
        <w:tblPrEx/>
        <w:trPr>
          <w:trHeight w:val="3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40" w:type="dxa"/>
            <w:textDirection w:val="lrTb"/>
            <w:noWrap w:val="false"/>
          </w:tcPr>
          <w:p>
            <w:pPr>
              <w:pStyle w:val="960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 w:val="off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9162" w:type="dxa"/>
            <w:vAlign w:val="center"/>
            <w:textDirection w:val="lrTb"/>
            <w:noWrap w:val="false"/>
          </w:tcPr>
          <w:p>
            <w:pPr>
              <w:pStyle w:val="841"/>
              <w:keepNext/>
              <w:spacing w:before="60" w:after="6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841"/>
              <w:jc w:val="both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субподрядным организациям, привлекаемым к выполнению работ,</w:t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подробно указаны в проекте договора подряда (в том числе в разделе № 2), который включен в состав Документации о закупке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pPr>
              <w:pStyle w:val="841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pPr>
              <w:pStyle w:val="841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6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40" w:type="dxa"/>
            <w:vMerge w:val="restart"/>
            <w:textDirection w:val="lrTb"/>
            <w:noWrap w:val="false"/>
          </w:tcPr>
          <w:p>
            <w:pPr>
              <w:pStyle w:val="960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 w:val="off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162" w:type="dxa"/>
            <w:vAlign w:val="center"/>
            <w:vMerge w:val="restart"/>
            <w:textDirection w:val="lrTb"/>
            <w:noWrap w:val="false"/>
          </w:tcPr>
          <w:p>
            <w:pPr>
              <w:pStyle w:val="841"/>
              <w:spacing w:before="40" w:after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победителю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841"/>
              <w:ind w:firstLine="720"/>
              <w:jc w:val="both"/>
              <w:spacing w:before="40" w:after="0"/>
              <w:widowControl w:val="off"/>
              <w:rPr>
                <w:b/>
                <w:sz w:val="22"/>
                <w:szCs w:val="22"/>
              </w:rPr>
              <w:suppressLineNumbers w:val="0"/>
            </w:pPr>
            <w:r>
              <w:rPr>
                <w:b w:val="0"/>
                <w:bCs w:val="0"/>
                <w:sz w:val="22"/>
                <w:szCs w:val="22"/>
              </w:rPr>
              <w:t xml:space="preserve">Участник, признанный победителем закупочной процедуры, в т</w:t>
            </w:r>
            <w:r>
              <w:rPr>
                <w:b w:val="0"/>
                <w:bCs w:val="0"/>
                <w:sz w:val="22"/>
                <w:szCs w:val="22"/>
              </w:rPr>
              <w:t xml:space="preserve">ечение 5 (пяти) рабочих дней после размещения протокола подведения итогов закупки на сайте www.zakupki.gov.ru (до заключения договора), должен предоставить в адрес Заказчика на электронный адрес beyzer-lm@dgk.ru  дополнительные документы.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841"/>
              <w:ind w:firstLine="720"/>
              <w:jc w:val="both"/>
              <w:spacing w:before="40" w:after="0"/>
              <w:widowControl w:val="off"/>
              <w:rPr>
                <w:b w:val="0"/>
                <w:bCs w:val="0"/>
                <w:sz w:val="22"/>
                <w:szCs w:val="22"/>
              </w:rPr>
              <w:suppressLineNumbers w:val="0"/>
            </w:pPr>
            <w:r>
              <w:rPr>
                <w:b w:val="0"/>
                <w:bCs w:val="0"/>
                <w:sz w:val="22"/>
                <w:szCs w:val="22"/>
              </w:rPr>
              <w:t xml:space="preserve">В случае не предоставления документов, указанных в данном пункте Технических требований в установленный срок, в соответствии с условиями Документации о закупке, Победитель призна</w:t>
            </w:r>
            <w:r>
              <w:rPr>
                <w:b w:val="0"/>
                <w:bCs w:val="0"/>
                <w:sz w:val="22"/>
                <w:szCs w:val="22"/>
              </w:rPr>
              <w:t xml:space="preserve">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 из числа остальных допущенных заявок.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94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40" w:type="dxa"/>
            <w:vMerge w:val="restart"/>
            <w:textDirection w:val="lrTb"/>
            <w:noWrap w:val="false"/>
          </w:tcPr>
          <w:p>
            <w:pPr>
              <w:pStyle w:val="960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 w:val="off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581" w:type="dxa"/>
            <w:vAlign w:val="center"/>
            <w:vMerge w:val="restart"/>
            <w:textDirection w:val="lrTb"/>
            <w:noWrap w:val="false"/>
          </w:tcPr>
          <w:p>
            <w:pPr>
              <w:pStyle w:val="841"/>
              <w:ind w:left="0" w:right="141" w:firstLine="0"/>
              <w:jc w:val="left"/>
              <w:spacing w:before="0"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  <w:u w:val="none"/>
                <w:lang w:val="ru-RU" w:eastAsia="en-US" w:bidi="ar-SA"/>
              </w:rPr>
              <w:t xml:space="preserve">Требования к кадровым ресурсам Победителя: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ind w:left="0" w:right="141" w:firstLine="0"/>
              <w:jc w:val="left"/>
              <w:spacing w:before="0"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1) Согласно требования п.92 Постановления правительства Российской федерации от 24.12.2021г. № 2464 «О порядке обучения по охране труда и проверки знаний требований охраны труда»: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581" w:type="dxa"/>
            <w:vAlign w:val="center"/>
            <w:vMerge w:val="restart"/>
            <w:textDirection w:val="lrTb"/>
            <w:noWrap w:val="false"/>
          </w:tcPr>
          <w:p>
            <w:pPr>
              <w:pStyle w:val="841"/>
              <w:ind w:left="142" w:right="141" w:firstLine="0"/>
              <w:jc w:val="both"/>
              <w:spacing w:before="0"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bCs w:val="0"/>
                <w:sz w:val="22"/>
                <w:szCs w:val="22"/>
                <w:highlight w:val="white"/>
                <w:u w:val="none"/>
                <w:lang w:val="ru-RU" w:eastAsia="en-US" w:bidi="ar-SA"/>
              </w:rPr>
              <w:t xml:space="preserve">Подтверждается: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1"/>
              <w:ind w:left="0" w:right="141" w:firstLine="0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u w:val="none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  <w:u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u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u w:val="none"/>
              </w:rPr>
            </w:r>
          </w:p>
          <w:p>
            <w:pPr>
              <w:pStyle w:val="841"/>
              <w:ind w:left="0" w:right="141" w:firstLine="0"/>
              <w:jc w:val="both"/>
              <w:spacing w:before="0"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1. Копиями документов проверки знаний требований охраны труда обученных лиц, не менее чем на 3 человек, (руководитель, производитель работ и всех членов бригады), которые будут непосредственно на объектах выполнять работы по Наряду-допуску.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rFonts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085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2" w:type="dxa"/>
            <w:vMerge w:val="continue"/>
            <w:textDirection w:val="lrTb"/>
            <w:noWrap w:val="false"/>
          </w:tcPr>
          <w:p>
            <w:r/>
          </w:p>
        </w:tc>
      </w:tr>
    </w:tbl>
    <w:p>
      <w:pPr>
        <w:sectPr>
          <w:headerReference w:type="default" r:id="rId13"/>
          <w:headerReference w:type="first" r:id="rId14"/>
          <w:footerReference w:type="default" r:id="rId18"/>
          <w:footerReference w:type="first" r:id="rId19"/>
          <w:footnotePr/>
          <w:endnotePr/>
          <w:type w:val="nextPage"/>
          <w:pgSz w:w="16838" w:h="11906" w:orient="landscape"/>
          <w:pgMar w:top="1239" w:right="567" w:bottom="2202" w:left="992" w:header="680" w:footer="1597" w:gutter="0"/>
          <w:cols w:num="1" w:sep="0" w:space="1701" w:equalWidth="1"/>
          <w:docGrid w:linePitch="360"/>
        </w:sectPr>
      </w:pPr>
      <w:r/>
      <w:r/>
    </w:p>
    <w:p>
      <w:pPr>
        <w:pStyle w:val="842"/>
        <w:numPr>
          <w:ilvl w:val="0"/>
          <w:numId w:val="15"/>
        </w:numPr>
        <w:contextualSpacing/>
        <w:jc w:val="center"/>
        <w:keepLines/>
        <w:spacing w:before="120" w:after="60"/>
      </w:pPr>
      <w:r>
        <w:t xml:space="preserve">Требования к документации по ценообразованию на этапе закупки</w:t>
      </w:r>
      <w:r/>
    </w:p>
    <w:p>
      <w:pPr>
        <w:pStyle w:val="841"/>
        <w:contextualSpacing/>
        <w:ind w:firstLine="425"/>
        <w:jc w:val="both"/>
        <w:spacing w:before="0" w:after="0"/>
        <w:rPr>
          <w:rFonts w:eastAsia="Calibri"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3.1.</w:t>
      </w:r>
      <w:r>
        <w:rPr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</w:t>
      </w:r>
      <w:r>
        <w:rPr>
          <w:rFonts w:eastAsia="Calibri"/>
          <w:sz w:val="24"/>
          <w:szCs w:val="24"/>
          <w:highlight w:val="white"/>
        </w:rPr>
      </w:r>
    </w:p>
    <w:p>
      <w:pPr>
        <w:pStyle w:val="844"/>
        <w:numPr>
          <w:ilvl w:val="0"/>
          <w:numId w:val="0"/>
        </w:numPr>
        <w:contextualSpacing/>
        <w:ind w:left="0" w:firstLine="425"/>
        <w:jc w:val="both"/>
        <w:spacing w:before="120" w:after="60"/>
        <w:rPr>
          <w:i/>
          <w:iCs/>
        </w:rPr>
      </w:pPr>
      <w:r>
        <w:rPr>
          <w:b w:val="0"/>
          <w:i/>
          <w:iCs/>
          <w:highlight w:val="white"/>
        </w:rPr>
        <w:t xml:space="preserve">Порядок расчета понижающего коэффициента определяется по формуле:</w:t>
      </w:r>
      <w:r>
        <w:rPr>
          <w:i/>
          <w:iCs/>
        </w:rPr>
      </w:r>
    </w:p>
    <w:p>
      <w:pPr>
        <w:pStyle w:val="844"/>
        <w:numPr>
          <w:ilvl w:val="0"/>
          <w:numId w:val="0"/>
        </w:numPr>
        <w:contextualSpacing/>
        <w:ind w:left="0" w:firstLine="425"/>
        <w:jc w:val="both"/>
        <w:spacing w:before="120" w:after="60"/>
        <w:rPr>
          <w:i/>
          <w:iCs/>
        </w:rPr>
      </w:pPr>
      <w:r>
        <w:rPr>
          <w:b w:val="0"/>
          <w:i/>
          <w:iCs/>
          <w:highlight w:val="white"/>
        </w:rPr>
        <w:t xml:space="preserve">P=N*k,</w:t>
      </w:r>
      <w:r>
        <w:rPr>
          <w:i/>
          <w:iCs/>
        </w:rPr>
      </w:r>
    </w:p>
    <w:p>
      <w:pPr>
        <w:pStyle w:val="844"/>
        <w:numPr>
          <w:ilvl w:val="0"/>
          <w:numId w:val="0"/>
        </w:numPr>
        <w:contextualSpacing/>
        <w:ind w:left="0" w:firstLine="425"/>
        <w:jc w:val="both"/>
        <w:spacing w:before="120" w:after="60"/>
        <w:rPr>
          <w:i/>
          <w:iCs/>
        </w:rPr>
      </w:pPr>
      <w:r>
        <w:rPr>
          <w:b w:val="0"/>
          <w:i/>
          <w:iCs/>
          <w:highlight w:val="white"/>
        </w:rPr>
        <w:t xml:space="preserve">где P – стоимость предложения участника;</w:t>
      </w:r>
      <w:r>
        <w:rPr>
          <w:i/>
          <w:iCs/>
        </w:rPr>
      </w:r>
    </w:p>
    <w:p>
      <w:pPr>
        <w:pStyle w:val="844"/>
        <w:numPr>
          <w:ilvl w:val="0"/>
          <w:numId w:val="0"/>
        </w:numPr>
        <w:contextualSpacing/>
        <w:ind w:left="0" w:firstLine="425"/>
        <w:jc w:val="both"/>
        <w:spacing w:before="120" w:after="60"/>
        <w:rPr>
          <w:i/>
          <w:iCs/>
        </w:rPr>
      </w:pPr>
      <w:r>
        <w:rPr>
          <w:b w:val="0"/>
          <w:i/>
          <w:iCs/>
          <w:highlight w:val="white"/>
        </w:rPr>
        <w:t xml:space="preserve">N – начальная (максимальная) цена договора, определенная в соответствии со сметной документацией Заказчика, приведенной в Приложении </w:t>
      </w:r>
      <w:r>
        <w:rPr>
          <w:b w:val="0"/>
          <w:i/>
          <w:iCs/>
          <w:shd w:val="clear" w:color="auto" w:fill="auto"/>
        </w:rPr>
        <w:t xml:space="preserve">№5 </w:t>
      </w:r>
      <w:r>
        <w:rPr>
          <w:b w:val="0"/>
          <w:i/>
          <w:iCs/>
          <w:highlight w:val="white"/>
        </w:rPr>
        <w:t xml:space="preserve">к настоящим Техническим требованиям;</w:t>
      </w:r>
      <w:r>
        <w:rPr>
          <w:i/>
          <w:iCs/>
        </w:rPr>
      </w:r>
    </w:p>
    <w:p>
      <w:pPr>
        <w:pStyle w:val="844"/>
        <w:numPr>
          <w:ilvl w:val="0"/>
          <w:numId w:val="0"/>
        </w:numPr>
        <w:contextualSpacing/>
        <w:ind w:left="0" w:firstLine="425"/>
        <w:jc w:val="both"/>
        <w:spacing w:before="120" w:after="60"/>
        <w:rPr>
          <w:i/>
          <w:iCs/>
        </w:rPr>
      </w:pPr>
      <w:r>
        <w:rPr>
          <w:b w:val="0"/>
          <w:i/>
          <w:iCs/>
          <w:highlight w:val="white"/>
        </w:rPr>
        <w:t xml:space="preserve">k – понижающий коэффициент, заявленный участником в коммерческом предложении (точность понижающего коэффициента указывается до 7 знаков после запятой).</w:t>
      </w:r>
      <w:r>
        <w:rPr>
          <w:i/>
          <w:iCs/>
        </w:rPr>
      </w:r>
    </w:p>
    <w:p>
      <w:pPr>
        <w:pStyle w:val="841"/>
        <w:contextualSpacing/>
        <w:ind w:firstLine="425"/>
        <w:jc w:val="both"/>
        <w:spacing w:before="0" w:after="0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  <w:highlight w:val="white"/>
        </w:rPr>
        <w:t xml:space="preserve">3.2.</w:t>
      </w:r>
      <w:r>
        <w:rPr>
          <w:rFonts w:eastAsia="Calibri"/>
          <w:sz w:val="24"/>
          <w:szCs w:val="24"/>
          <w:highlight w:val="white"/>
        </w:rPr>
        <w:t xml:space="preserve"> Дополнительные документы по ценообразованию (сметная документация) в состав заявки Участника не включаются.</w:t>
      </w:r>
      <w:r>
        <w:rPr>
          <w:rFonts w:eastAsia="Calibri"/>
          <w:sz w:val="24"/>
          <w:szCs w:val="24"/>
        </w:rPr>
      </w:r>
    </w:p>
    <w:p>
      <w:pPr>
        <w:pStyle w:val="841"/>
        <w:contextualSpacing/>
        <w:ind w:firstLine="425"/>
        <w:jc w:val="both"/>
        <w:spacing w:before="0" w:after="0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pStyle w:val="842"/>
        <w:numPr>
          <w:ilvl w:val="0"/>
          <w:numId w:val="0"/>
        </w:numPr>
        <w:ind w:left="567" w:hanging="141"/>
        <w:jc w:val="center"/>
        <w:keepLines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4. Требования к документации по ценообразованию на этапе заключения (исполнения)</w:t>
      </w:r>
      <w:r>
        <w:rPr>
          <w:b w:val="0"/>
          <w:sz w:val="27"/>
          <w:szCs w:val="27"/>
        </w:rPr>
        <w:t xml:space="preserve"> </w:t>
      </w:r>
      <w:r>
        <w:rPr>
          <w:sz w:val="27"/>
          <w:szCs w:val="27"/>
        </w:rPr>
        <w:t xml:space="preserve">договора</w:t>
      </w:r>
      <w:r>
        <w:rPr>
          <w:sz w:val="27"/>
          <w:szCs w:val="27"/>
        </w:rPr>
      </w:r>
    </w:p>
    <w:p>
      <w:pPr>
        <w:pStyle w:val="845"/>
        <w:numPr>
          <w:ilvl w:val="1"/>
          <w:numId w:val="24"/>
        </w:numPr>
        <w:contextualSpacing/>
        <w:spacing w:before="120" w:after="60" w:line="276" w:lineRule="auto"/>
      </w:pPr>
      <w:r>
        <w:t xml:space="preserve"> </w:t>
      </w:r>
      <w:r>
        <w:rPr>
          <w:highlight w:val="white"/>
        </w:rPr>
        <w:t xml:space="preserve">Требования к составлению сметной документации (при заключении договора):</w:t>
      </w:r>
      <w:r/>
    </w:p>
    <w:p>
      <w:pPr>
        <w:pStyle w:val="841"/>
        <w:jc w:val="both"/>
        <w:rPr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4.1.1 </w:t>
      </w:r>
      <w:r>
        <w:rPr>
          <w:sz w:val="24"/>
          <w:szCs w:val="24"/>
          <w:highlight w:val="white"/>
        </w:rPr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№1 к настоящим Техническим требованиям, и включается в состав договора с применением</w:t>
      </w:r>
      <w:r>
        <w:rPr>
          <w:sz w:val="24"/>
          <w:szCs w:val="24"/>
          <w:highlight w:val="white"/>
        </w:rPr>
        <w:t xml:space="preserve">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  <w:r>
        <w:rPr>
          <w:highlight w:val="white"/>
        </w:rPr>
      </w:r>
    </w:p>
    <w:p>
      <w:pPr>
        <w:pStyle w:val="844"/>
        <w:numPr>
          <w:ilvl w:val="0"/>
          <w:numId w:val="0"/>
        </w:numPr>
        <w:ind w:left="0" w:firstLine="0"/>
        <w:jc w:val="both"/>
      </w:pPr>
      <w:r>
        <w:rPr>
          <w:bCs/>
          <w:highlight w:val="white"/>
        </w:rPr>
        <w:t xml:space="preserve">4.1.2</w:t>
      </w:r>
      <w:r>
        <w:rPr>
          <w:b w:val="0"/>
          <w:highlight w:val="white"/>
        </w:rPr>
        <w:t xml:space="preserve">. Внесение изменений в сметную документацию заказчика, кроме применения понижающего коэффициента в соответствии с п.4.1.1, не допускается.</w:t>
      </w:r>
      <w:r/>
    </w:p>
    <w:p>
      <w:pPr>
        <w:pStyle w:val="844"/>
        <w:numPr>
          <w:ilvl w:val="0"/>
          <w:numId w:val="0"/>
        </w:numPr>
        <w:ind w:left="0" w:firstLine="0"/>
        <w:jc w:val="both"/>
        <w:rPr>
          <w:b w:val="0"/>
        </w:rPr>
      </w:pPr>
      <w:r>
        <w:rPr>
          <w:bCs/>
          <w:highlight w:val="white"/>
        </w:rPr>
        <w:t xml:space="preserve">4.1.3. </w:t>
      </w:r>
      <w:r>
        <w:rPr>
          <w:b w:val="0"/>
          <w:highlight w:val="white"/>
        </w:rPr>
        <w:t xml:space="preserve"> </w:t>
      </w:r>
      <w:r>
        <w:rPr>
          <w:b w:val="0"/>
          <w:color w:val="000000"/>
          <w:highlight w:val="white"/>
          <w:shd w:val="clear" w:color="auto" w:fill="ffffff"/>
        </w:rPr>
        <w:t xml:space="preserve">В сметной документации предусмотрен резерв средств на непредвиденные работы и затраты в размере 3%.</w:t>
      </w:r>
      <w:r>
        <w:rPr>
          <w:b w:val="0"/>
        </w:rPr>
      </w:r>
    </w:p>
    <w:p>
      <w:pPr>
        <w:pStyle w:val="844"/>
        <w:numPr>
          <w:ilvl w:val="0"/>
          <w:numId w:val="0"/>
        </w:numPr>
        <w:ind w:left="0" w:firstLine="0"/>
        <w:jc w:val="both"/>
      </w:pPr>
      <w:r>
        <w:rPr>
          <w:bCs/>
          <w:highlight w:val="white"/>
        </w:rPr>
        <w:t xml:space="preserve">4.2.</w:t>
      </w:r>
      <w:r>
        <w:rPr>
          <w:b w:val="0"/>
          <w:highlight w:val="white"/>
        </w:rPr>
        <w:t xml:space="preserve">Требования к составлению сметной документации (на этапе исполнения договора):</w:t>
      </w:r>
      <w:r/>
    </w:p>
    <w:p>
      <w:pPr>
        <w:pStyle w:val="844"/>
        <w:numPr>
          <w:ilvl w:val="0"/>
          <w:numId w:val="0"/>
        </w:numPr>
        <w:ind w:left="0" w:firstLine="0"/>
        <w:jc w:val="both"/>
      </w:pPr>
      <w:r>
        <w:rPr>
          <w:bCs/>
          <w:highlight w:val="white"/>
        </w:rPr>
        <w:t xml:space="preserve">4.2.1.</w:t>
      </w:r>
      <w:r>
        <w:rPr>
          <w:b w:val="0"/>
          <w:highlight w:val="white"/>
        </w:rPr>
        <w:t xml:space="preserve"> В случае возникновения непредвиденных расходов в рамках реализации договора необходимо составлять и оф</w:t>
      </w:r>
      <w:r>
        <w:rPr>
          <w:b w:val="0"/>
          <w:highlight w:val="white"/>
        </w:rPr>
        <w:t xml:space="preserve">ормлять сметную документацию в обоснование данных затрат в соответствии с требованиями, указанными в Приложении №1 к настоящим Техническим требованиям, с применением понижающего коэффициента, определенного по результатам конкурентной процедуры (п. 4.1.1). </w:t>
      </w:r>
      <w:r/>
    </w:p>
    <w:p>
      <w:pPr>
        <w:pStyle w:val="842"/>
        <w:numPr>
          <w:ilvl w:val="0"/>
          <w:numId w:val="0"/>
        </w:numPr>
        <w:ind w:left="3686" w:firstLine="0"/>
        <w:keepLines/>
        <w:rPr>
          <w:iCs/>
          <w:caps/>
        </w:rPr>
      </w:pPr>
      <w:r>
        <w:rPr>
          <w:iCs/>
        </w:rPr>
        <w:t xml:space="preserve">5. Приложения</w:t>
      </w:r>
      <w:r>
        <w:rPr>
          <w:iCs/>
          <w:caps/>
        </w:rPr>
      </w:r>
    </w:p>
    <w:p>
      <w:pPr>
        <w:pStyle w:val="960"/>
        <w:numPr>
          <w:ilvl w:val="0"/>
          <w:numId w:val="21"/>
        </w:numPr>
        <w:shd w:val="clear" w:color="auto" w:fill="ffffff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  <w:t xml:space="preserve">Приложение №1: Требования к оформлению и составлению документации по ценообразованию;</w:t>
      </w:r>
      <w:r>
        <w:rPr>
          <w:bCs/>
        </w:rPr>
      </w:r>
    </w:p>
    <w:p>
      <w:pPr>
        <w:pStyle w:val="960"/>
        <w:numPr>
          <w:ilvl w:val="0"/>
          <w:numId w:val="21"/>
        </w:numPr>
        <w:shd w:val="clear" w:color="auto" w:fill="ffffff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  <w:t xml:space="preserve">Приложение №2: Ведомость объёмов работ </w:t>
      </w:r>
      <w:r>
        <w:rPr>
          <w:bCs/>
        </w:rPr>
      </w:r>
    </w:p>
    <w:p>
      <w:pPr>
        <w:pStyle w:val="960"/>
        <w:numPr>
          <w:ilvl w:val="0"/>
          <w:numId w:val="21"/>
        </w:numPr>
        <w:shd w:val="clear" w:color="auto" w:fill="ffffff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  <w:t xml:space="preserve">Приложение №3: Ведомость материалов Подрядчика;</w:t>
      </w:r>
      <w:r>
        <w:rPr>
          <w:bCs/>
        </w:rPr>
      </w:r>
    </w:p>
    <w:p>
      <w:pPr>
        <w:pStyle w:val="960"/>
        <w:numPr>
          <w:ilvl w:val="0"/>
          <w:numId w:val="21"/>
        </w:numPr>
        <w:shd w:val="clear" w:color="auto" w:fill="ffffff"/>
        <w:tabs>
          <w:tab w:val="clear" w:pos="708" w:leader="none"/>
          <w:tab w:val="left" w:pos="709" w:leader="none"/>
        </w:tabs>
      </w:pPr>
      <w:r>
        <w:rPr>
          <w:bCs/>
        </w:rPr>
        <w:t xml:space="preserve">Приложение №4: Локально-нормативные акты АО «ДГК»</w:t>
      </w:r>
      <w:r/>
    </w:p>
    <w:p>
      <w:pPr>
        <w:pStyle w:val="960"/>
        <w:numPr>
          <w:ilvl w:val="0"/>
          <w:numId w:val="21"/>
        </w:numPr>
        <w:shd w:val="clear" w:color="auto" w:fill="ffffff"/>
        <w:tabs>
          <w:tab w:val="clear" w:pos="708" w:leader="none"/>
          <w:tab w:val="left" w:pos="709" w:leader="none"/>
        </w:tabs>
      </w:pPr>
      <w:r>
        <w:rPr>
          <w:bCs/>
        </w:rPr>
        <w:t xml:space="preserve">Приложение №5: Локальный сметный расчёт</w:t>
      </w:r>
      <w:r/>
    </w:p>
    <w:p>
      <w:pPr>
        <w:pStyle w:val="960"/>
        <w:shd w:val="clear" w:color="auto" w:fill="ffffff"/>
        <w:tabs>
          <w:tab w:val="clear" w:pos="708" w:leader="none"/>
          <w:tab w:val="left" w:pos="709" w:leader="none"/>
        </w:tabs>
      </w:pPr>
      <w:r/>
      <w:r/>
    </w:p>
    <w:p>
      <w:pPr>
        <w:pStyle w:val="841"/>
      </w:pPr>
      <w:r/>
      <w:r/>
    </w:p>
    <w:p>
      <w:pPr>
        <w:pStyle w:val="960"/>
        <w:ind w:left="0" w:firstLine="0"/>
        <w:jc w:val="both"/>
        <w:shd w:val="clear" w:color="auto" w:fill="ffffff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960"/>
        <w:ind w:left="0" w:firstLine="0"/>
        <w:jc w:val="center"/>
        <w:shd w:val="clear" w:color="auto" w:fill="ffffff"/>
        <w:tabs>
          <w:tab w:val="clear" w:pos="708" w:leader="none"/>
          <w:tab w:val="left" w:pos="709" w:leader="none"/>
        </w:tabs>
      </w:pPr>
      <w:r/>
      <w:r/>
    </w:p>
    <w:sectPr>
      <w:headerReference w:type="default" r:id="rId15"/>
      <w:headerReference w:type="first" r:id="rId16"/>
      <w:footerReference w:type="default" r:id="rId20"/>
      <w:footerReference w:type="first" r:id="rId21"/>
      <w:footnotePr/>
      <w:endnotePr/>
      <w:type w:val="nextPage"/>
      <w:pgSz w:w="11906" w:h="16838" w:orient="portrait"/>
      <w:pgMar w:top="1134" w:right="851" w:bottom="879" w:left="1134" w:header="680" w:footer="822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Garamond">
    <w:panose1 w:val="02020603050405020304"/>
  </w:font>
  <w:font w:name="Verdana">
    <w:panose1 w:val="020B0604030504040204"/>
  </w:font>
  <w:font w:name="Calibri Light (Заголовки)">
    <w:panose1 w:val="020F0502020204030204"/>
  </w:font>
  <w:font w:name="Tahoma">
    <w:panose1 w:val="020B0604030504040204"/>
  </w:font>
  <w:font w:name="Noto Sans CJK SC">
    <w:panose1 w:val="020B0502040504020204"/>
  </w:font>
  <w:font w:name="Cambria">
    <w:panose1 w:val="02040803050406030204"/>
  </w:font>
  <w:font w:name="Calibri">
    <w:panose1 w:val="020F0502020204030204"/>
  </w:font>
  <w:font w:name="Wingdings">
    <w:panose1 w:val="05010000000000000000"/>
  </w:font>
  <w:font w:name="Liberation Sans">
    <w:panose1 w:val="020B0604020202020204"/>
  </w:font>
  <w:font w:name="Noto Serif CJK SC">
    <w:panose1 w:val="020B0502040504020204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6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6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5</w:t>
    </w:r>
    <w:r>
      <w:fldChar w:fldCharType="end"/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1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6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18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4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934"/>
                            <w:rPr>
                              <w:rStyle w:val="873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7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873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873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873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873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73"/>
                            </w:rPr>
                          </w:r>
                        </w:p>
                      </w:txbxContent>
                    </wps:txbx>
                    <wps:bodyPr lIns="36360" tIns="-20880" rIns="36360" bIns="-2088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934"/>
                      <w:rPr>
                        <w:rStyle w:val="873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rStyle w:val="873"/>
                        <w:color w:val="000000"/>
                      </w:rPr>
                      <w:fldChar w:fldCharType="begin"/>
                    </w:r>
                    <w:r>
                      <w:rPr>
                        <w:rStyle w:val="873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873"/>
                        <w:color w:val="000000"/>
                      </w:rPr>
                      <w:fldChar w:fldCharType="separate"/>
                    </w:r>
                    <w:r>
                      <w:rPr>
                        <w:rStyle w:val="873"/>
                        <w:color w:val="000000"/>
                      </w:rPr>
                      <w:t xml:space="preserve">0</w:t>
                    </w:r>
                    <w:r>
                      <w:rPr>
                        <w:rStyle w:val="873"/>
                        <w:color w:val="000000"/>
                      </w:rPr>
                      <w:fldChar w:fldCharType="end"/>
                    </w:r>
                    <w:r>
                      <w:rPr>
                        <w:rStyle w:val="873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1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4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4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19</w:t>
    </w:r>
    <w:r>
      <w:fldChar w:fldCharType="end"/>
    </w:r>
    <w:r/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2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927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">
    <w:multiLevelType w:val="hybridMultilevel"/>
    <w:lvl w:ilvl="0">
      <w:start w:val="4"/>
      <w:numFmt w:val="bullet"/>
      <w:pStyle w:val="968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969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967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844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978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979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982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980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981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985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  <w:highlight w:val="white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2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2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2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2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2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2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2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2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2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6" w:hanging="504"/>
        <w:tabs>
          <w:tab w:val="num" w:pos="0" w:leader="none"/>
        </w:tabs>
      </w:pPr>
      <w:rPr>
        <w:b/>
      </w:r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2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1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Noto Serif CJK SC" w:cs="Arial Unicode M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41" w:default="1">
    <w:name w:val="Normal"/>
    <w:qFormat/>
    <w:pPr>
      <w:jc w:val="left"/>
      <w:spacing w:before="0" w:after="0"/>
      <w:widowControl/>
    </w:pPr>
    <w:rPr>
      <w:rFonts w:ascii="Times New Roman" w:hAnsi="Times New Roman" w:eastAsia="Noto Serif CJK SC" w:cs="Arial Unicode MS"/>
      <w:color w:val="auto"/>
      <w:sz w:val="28"/>
      <w:szCs w:val="28"/>
      <w:lang w:val="ru-RU" w:eastAsia="ru-RU" w:bidi="ar-SA"/>
    </w:rPr>
  </w:style>
  <w:style w:type="paragraph" w:styleId="842">
    <w:name w:val="Heading 1"/>
    <w:basedOn w:val="844"/>
    <w:qFormat/>
    <w:pPr>
      <w:numPr>
        <w:ilvl w:val="0"/>
      </w:numPr>
      <w:outlineLvl w:val="0"/>
    </w:pPr>
    <w:rPr>
      <w:sz w:val="28"/>
      <w:szCs w:val="28"/>
    </w:rPr>
  </w:style>
  <w:style w:type="paragraph" w:styleId="843">
    <w:name w:val="Heading 2"/>
    <w:basedOn w:val="845"/>
    <w:qFormat/>
    <w:pPr>
      <w:outlineLvl w:val="1"/>
    </w:pPr>
  </w:style>
  <w:style w:type="paragraph" w:styleId="844">
    <w:name w:val="Heading 3"/>
    <w:basedOn w:val="841"/>
    <w:qFormat/>
    <w:pPr>
      <w:numPr>
        <w:ilvl w:val="2"/>
        <w:numId w:val="3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45">
    <w:name w:val="Heading 4"/>
    <w:basedOn w:val="844"/>
    <w:qFormat/>
    <w:pPr>
      <w:numPr>
        <w:ilvl w:val="0"/>
        <w:numId w:val="0"/>
      </w:numPr>
      <w:ind w:left="432" w:hanging="432"/>
      <w:tabs>
        <w:tab w:val="left" w:pos="0" w:leader="none"/>
        <w:tab w:val="clear" w:pos="708" w:leader="none"/>
      </w:tabs>
      <w:outlineLvl w:val="3"/>
    </w:pPr>
    <w:rPr>
      <w:bCs/>
    </w:rPr>
  </w:style>
  <w:style w:type="paragraph" w:styleId="846">
    <w:name w:val="Heading 5"/>
    <w:basedOn w:val="841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47">
    <w:name w:val="Heading 6"/>
    <w:basedOn w:val="841"/>
    <w:uiPriority w:val="9"/>
    <w:qFormat/>
    <w:pPr>
      <w:keepLines/>
      <w:keepNext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48">
    <w:name w:val="Heading 7"/>
    <w:basedOn w:val="841"/>
    <w:uiPriority w:val="9"/>
    <w:qFormat/>
    <w:pPr>
      <w:keepLines/>
      <w:keepNext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49">
    <w:name w:val="Heading 8"/>
    <w:basedOn w:val="841"/>
    <w:uiPriority w:val="9"/>
    <w:qFormat/>
    <w:pPr>
      <w:keepLines/>
      <w:keepNext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850">
    <w:name w:val="Heading 9"/>
    <w:basedOn w:val="841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51" w:default="1">
    <w:name w:val="Default Paragraph Font"/>
    <w:uiPriority w:val="1"/>
    <w:semiHidden/>
    <w:unhideWhenUsed/>
    <w:qFormat/>
  </w:style>
  <w:style w:type="character" w:styleId="852" w:customStyle="1">
    <w:name w:val="Title Char"/>
    <w:basedOn w:val="851"/>
    <w:uiPriority w:val="10"/>
    <w:qFormat/>
    <w:rPr>
      <w:sz w:val="48"/>
      <w:szCs w:val="48"/>
    </w:rPr>
  </w:style>
  <w:style w:type="character" w:styleId="853" w:customStyle="1">
    <w:name w:val="Heading 1 Char"/>
    <w:basedOn w:val="851"/>
    <w:uiPriority w:val="9"/>
    <w:qFormat/>
    <w:rPr>
      <w:rFonts w:ascii="Arial" w:hAnsi="Arial" w:eastAsia="Arial" w:cs="Arial"/>
      <w:sz w:val="40"/>
      <w:szCs w:val="40"/>
    </w:rPr>
  </w:style>
  <w:style w:type="character" w:styleId="854" w:customStyle="1">
    <w:name w:val="Heading 2 Char"/>
    <w:basedOn w:val="851"/>
    <w:uiPriority w:val="9"/>
    <w:qFormat/>
    <w:rPr>
      <w:rFonts w:ascii="Arial" w:hAnsi="Arial" w:eastAsia="Arial" w:cs="Arial"/>
      <w:sz w:val="34"/>
    </w:rPr>
  </w:style>
  <w:style w:type="character" w:styleId="855" w:customStyle="1">
    <w:name w:val="Heading 3 Char"/>
    <w:basedOn w:val="851"/>
    <w:uiPriority w:val="9"/>
    <w:qFormat/>
    <w:rPr>
      <w:rFonts w:ascii="Arial" w:hAnsi="Arial" w:eastAsia="Arial" w:cs="Arial"/>
      <w:sz w:val="30"/>
      <w:szCs w:val="30"/>
    </w:rPr>
  </w:style>
  <w:style w:type="character" w:styleId="856" w:customStyle="1">
    <w:name w:val="Heading 4 Char"/>
    <w:basedOn w:val="851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57" w:customStyle="1">
    <w:name w:val="Heading 5 Char"/>
    <w:basedOn w:val="851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58" w:customStyle="1">
    <w:name w:val="Heading 6 Char"/>
    <w:basedOn w:val="851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59" w:customStyle="1">
    <w:name w:val="Heading 7 Char"/>
    <w:basedOn w:val="851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60" w:customStyle="1">
    <w:name w:val="Heading 8 Char"/>
    <w:basedOn w:val="85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61" w:customStyle="1">
    <w:name w:val="Heading 9 Char"/>
    <w:basedOn w:val="851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62" w:customStyle="1">
    <w:name w:val="Заголовок Знак"/>
    <w:basedOn w:val="851"/>
    <w:uiPriority w:val="10"/>
    <w:qFormat/>
    <w:rPr>
      <w:sz w:val="48"/>
      <w:szCs w:val="48"/>
    </w:rPr>
  </w:style>
  <w:style w:type="character" w:styleId="863" w:customStyle="1">
    <w:name w:val="Subtitle Char"/>
    <w:basedOn w:val="851"/>
    <w:uiPriority w:val="11"/>
    <w:qFormat/>
    <w:rPr>
      <w:sz w:val="24"/>
      <w:szCs w:val="24"/>
    </w:rPr>
  </w:style>
  <w:style w:type="character" w:styleId="864" w:customStyle="1">
    <w:name w:val="Quote Char"/>
    <w:uiPriority w:val="29"/>
    <w:qFormat/>
    <w:rPr>
      <w:i/>
    </w:rPr>
  </w:style>
  <w:style w:type="character" w:styleId="865" w:customStyle="1">
    <w:name w:val="Intense Quote Char"/>
    <w:uiPriority w:val="30"/>
    <w:qFormat/>
    <w:rPr>
      <w:i/>
    </w:rPr>
  </w:style>
  <w:style w:type="character" w:styleId="866" w:customStyle="1">
    <w:name w:val="Header Char"/>
    <w:basedOn w:val="851"/>
    <w:uiPriority w:val="99"/>
    <w:qFormat/>
  </w:style>
  <w:style w:type="character" w:styleId="867" w:customStyle="1">
    <w:name w:val="Footer Char"/>
    <w:basedOn w:val="851"/>
    <w:uiPriority w:val="99"/>
    <w:qFormat/>
  </w:style>
  <w:style w:type="character" w:styleId="868" w:customStyle="1">
    <w:name w:val="Caption Char"/>
    <w:uiPriority w:val="99"/>
    <w:qFormat/>
  </w:style>
  <w:style w:type="character" w:styleId="869" w:customStyle="1">
    <w:name w:val="Footnote Text Char"/>
    <w:uiPriority w:val="99"/>
    <w:qFormat/>
    <w:rPr>
      <w:sz w:val="18"/>
    </w:rPr>
  </w:style>
  <w:style w:type="character" w:styleId="870" w:customStyle="1">
    <w:name w:val="Endnote Text Char"/>
    <w:uiPriority w:val="99"/>
    <w:qFormat/>
    <w:rPr>
      <w:sz w:val="20"/>
    </w:rPr>
  </w:style>
  <w:style w:type="character" w:styleId="871" w:customStyle="1">
    <w:name w:val="Символ сноски"/>
    <w:qFormat/>
    <w:rPr>
      <w:vertAlign w:val="superscript"/>
    </w:rPr>
  </w:style>
  <w:style w:type="character" w:styleId="872">
    <w:name w:val="footnote reference"/>
    <w:rPr>
      <w:vertAlign w:val="superscript"/>
    </w:rPr>
  </w:style>
  <w:style w:type="character" w:styleId="873">
    <w:name w:val="page number"/>
    <w:basedOn w:val="851"/>
    <w:qFormat/>
  </w:style>
  <w:style w:type="character" w:styleId="874">
    <w:name w:val="Hyperlink"/>
    <w:uiPriority w:val="99"/>
    <w:rPr>
      <w:color w:val="0000ff"/>
      <w:u w:val="single"/>
    </w:rPr>
  </w:style>
  <w:style w:type="character" w:styleId="875">
    <w:name w:val="annotation reference"/>
    <w:uiPriority w:val="99"/>
    <w:semiHidden/>
    <w:qFormat/>
    <w:rPr>
      <w:sz w:val="16"/>
      <w:szCs w:val="16"/>
    </w:rPr>
  </w:style>
  <w:style w:type="character" w:styleId="876">
    <w:name w:val="Strong"/>
    <w:qFormat/>
    <w:rPr>
      <w:b/>
      <w:bCs/>
    </w:rPr>
  </w:style>
  <w:style w:type="character" w:styleId="877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878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79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880" w:customStyle="1">
    <w:name w:val="Заголовок 1 Знак"/>
    <w:qFormat/>
    <w:rPr>
      <w:rFonts w:eastAsia="Calibri"/>
      <w:b/>
      <w:sz w:val="28"/>
      <w:szCs w:val="28"/>
    </w:rPr>
  </w:style>
  <w:style w:type="character" w:styleId="881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882" w:customStyle="1">
    <w:name w:val="Заголовок 3 Знак"/>
    <w:qFormat/>
    <w:rPr>
      <w:rFonts w:eastAsia="Calibri"/>
      <w:b/>
      <w:sz w:val="24"/>
      <w:szCs w:val="24"/>
    </w:rPr>
  </w:style>
  <w:style w:type="character" w:styleId="883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884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885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886" w:customStyle="1">
    <w:name w:val="Название Знак"/>
    <w:uiPriority w:val="10"/>
    <w:qFormat/>
    <w:rPr>
      <w:sz w:val="28"/>
    </w:rPr>
  </w:style>
  <w:style w:type="character" w:styleId="887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888">
    <w:name w:val="Emphasis"/>
    <w:uiPriority w:val="20"/>
    <w:qFormat/>
    <w:rPr>
      <w:i/>
      <w:iCs/>
    </w:rPr>
  </w:style>
  <w:style w:type="character" w:styleId="889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890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891">
    <w:name w:val="Subtle Emphasis"/>
    <w:uiPriority w:val="19"/>
    <w:qFormat/>
    <w:rPr>
      <w:i/>
      <w:iCs/>
      <w:color w:val="808080"/>
    </w:rPr>
  </w:style>
  <w:style w:type="character" w:styleId="892">
    <w:name w:val="Intense Emphasis"/>
    <w:uiPriority w:val="21"/>
    <w:qFormat/>
    <w:rPr>
      <w:b/>
      <w:bCs/>
      <w:i/>
      <w:iCs/>
      <w:color w:val="4f81bd"/>
    </w:rPr>
  </w:style>
  <w:style w:type="character" w:styleId="893">
    <w:name w:val="Subtle Reference"/>
    <w:uiPriority w:val="31"/>
    <w:qFormat/>
    <w:rPr>
      <w:smallCaps/>
      <w:color w:val="c0504d"/>
      <w:u w:val="single"/>
    </w:rPr>
  </w:style>
  <w:style w:type="character" w:styleId="894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895">
    <w:name w:val="Book Title"/>
    <w:uiPriority w:val="33"/>
    <w:qFormat/>
    <w:rPr>
      <w:b/>
      <w:bCs/>
      <w:smallCaps/>
      <w:spacing w:val="5"/>
    </w:rPr>
  </w:style>
  <w:style w:type="character" w:styleId="896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897" w:customStyle="1">
    <w:name w:val="Подпункт Знак1"/>
    <w:qFormat/>
    <w:rPr>
      <w:sz w:val="28"/>
    </w:rPr>
  </w:style>
  <w:style w:type="character" w:styleId="898" w:customStyle="1">
    <w:name w:val="Текст сноски Знак"/>
    <w:uiPriority w:val="99"/>
    <w:qFormat/>
  </w:style>
  <w:style w:type="character" w:styleId="899" w:customStyle="1">
    <w:name w:val="Основной текст Знак"/>
    <w:qFormat/>
    <w:rPr>
      <w:sz w:val="28"/>
      <w:szCs w:val="28"/>
    </w:rPr>
  </w:style>
  <w:style w:type="character" w:styleId="900" w:customStyle="1">
    <w:name w:val="blk"/>
    <w:qFormat/>
  </w:style>
  <w:style w:type="character" w:styleId="901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902" w:customStyle="1">
    <w:name w:val="комментарий"/>
    <w:qFormat/>
    <w:rPr>
      <w:b/>
      <w:i/>
      <w:shd w:val="clear" w:color="auto" w:fill="ffff99"/>
    </w:rPr>
  </w:style>
  <w:style w:type="character" w:styleId="903" w:customStyle="1">
    <w:name w:val="Подподпункт Знак"/>
    <w:qFormat/>
    <w:rPr>
      <w:sz w:val="26"/>
      <w:szCs w:val="26"/>
    </w:rPr>
  </w:style>
  <w:style w:type="character" w:styleId="904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905" w:customStyle="1">
    <w:name w:val="Верхний колонтитул Знак"/>
    <w:uiPriority w:val="99"/>
    <w:qFormat/>
    <w:rPr>
      <w:sz w:val="24"/>
      <w:szCs w:val="24"/>
    </w:rPr>
  </w:style>
  <w:style w:type="character" w:styleId="906" w:customStyle="1">
    <w:name w:val="Текст примечания Знак"/>
    <w:semiHidden/>
    <w:qFormat/>
  </w:style>
  <w:style w:type="character" w:styleId="907" w:customStyle="1">
    <w:name w:val="Текст концевой сноски Знак"/>
    <w:basedOn w:val="851"/>
    <w:qFormat/>
  </w:style>
  <w:style w:type="character" w:styleId="908" w:customStyle="1">
    <w:name w:val="Символ концевой сноски"/>
    <w:qFormat/>
    <w:rPr>
      <w:vertAlign w:val="superscript"/>
    </w:rPr>
  </w:style>
  <w:style w:type="character" w:styleId="909">
    <w:name w:val="endnote reference"/>
    <w:rPr>
      <w:vertAlign w:val="superscript"/>
    </w:rPr>
  </w:style>
  <w:style w:type="character" w:styleId="910" w:customStyle="1">
    <w:name w:val="Пункт2 Знак"/>
    <w:qFormat/>
    <w:rPr>
      <w:b/>
      <w:sz w:val="28"/>
    </w:rPr>
  </w:style>
  <w:style w:type="character" w:styleId="911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912" w:customStyle="1">
    <w:name w:val="Неразрешенное упоминание1"/>
    <w:basedOn w:val="851"/>
    <w:uiPriority w:val="99"/>
    <w:semiHidden/>
    <w:unhideWhenUsed/>
    <w:qFormat/>
    <w:rPr>
      <w:color w:val="605e5c"/>
      <w:shd w:val="clear" w:color="auto" w:fill="e1dfdd"/>
    </w:rPr>
  </w:style>
  <w:style w:type="character" w:styleId="913" w:customStyle="1">
    <w:name w:val="Основной текст с отступом 3 Знак"/>
    <w:uiPriority w:val="99"/>
    <w:qFormat/>
    <w:rPr>
      <w:sz w:val="16"/>
      <w:szCs w:val="16"/>
    </w:rPr>
  </w:style>
  <w:style w:type="character" w:styleId="914" w:customStyle="1">
    <w:name w:val="Нижний колонтитул Знак"/>
    <w:uiPriority w:val="99"/>
    <w:qFormat/>
    <w:rPr>
      <w:sz w:val="28"/>
      <w:szCs w:val="28"/>
    </w:rPr>
  </w:style>
  <w:style w:type="character" w:styleId="915" w:customStyle="1">
    <w:name w:val="Ссылка указателя"/>
    <w:qFormat/>
  </w:style>
  <w:style w:type="paragraph" w:styleId="916">
    <w:name w:val="Заголовок"/>
    <w:basedOn w:val="841"/>
    <w:next w:val="917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917">
    <w:name w:val="Body Text"/>
    <w:basedOn w:val="841"/>
    <w:pPr>
      <w:spacing w:before="0" w:after="120"/>
    </w:pPr>
  </w:style>
  <w:style w:type="paragraph" w:styleId="918">
    <w:name w:val="List"/>
    <w:basedOn w:val="917"/>
  </w:style>
  <w:style w:type="paragraph" w:styleId="919">
    <w:name w:val="Caption"/>
    <w:basedOn w:val="841"/>
    <w:qFormat/>
    <w:pPr>
      <w:spacing w:before="120" w:after="120"/>
      <w:suppressLineNumbers/>
    </w:pPr>
    <w:rPr>
      <w:rFonts w:cs="Arial Unicode MS"/>
      <w:i/>
      <w:iCs/>
      <w:sz w:val="24"/>
      <w:szCs w:val="24"/>
    </w:rPr>
  </w:style>
  <w:style w:type="paragraph" w:styleId="920">
    <w:name w:val="Указатель"/>
    <w:basedOn w:val="841"/>
    <w:qFormat/>
    <w:pPr>
      <w:suppressLineNumbers/>
    </w:pPr>
    <w:rPr>
      <w:rFonts w:cs="Arial Unicode MS"/>
    </w:rPr>
  </w:style>
  <w:style w:type="paragraph" w:styleId="921">
    <w:name w:val="Title"/>
    <w:basedOn w:val="841"/>
    <w:next w:val="91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22">
    <w:name w:val="caption1"/>
    <w:basedOn w:val="841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923">
    <w:name w:val="index heading1"/>
    <w:basedOn w:val="921"/>
    <w:qFormat/>
  </w:style>
  <w:style w:type="paragraph" w:styleId="924">
    <w:name w:val="table of figures"/>
    <w:basedOn w:val="841"/>
    <w:uiPriority w:val="99"/>
    <w:unhideWhenUsed/>
    <w:qFormat/>
  </w:style>
  <w:style w:type="paragraph" w:styleId="925" w:customStyle="1">
    <w:name w:val="Название раздела инструкции"/>
    <w:basedOn w:val="841"/>
    <w:qFormat/>
    <w:pPr>
      <w:jc w:val="center"/>
    </w:pPr>
    <w:rPr>
      <w:b/>
    </w:rPr>
  </w:style>
  <w:style w:type="paragraph" w:styleId="926" w:customStyle="1">
    <w:name w:val="Раздел положения"/>
    <w:basedOn w:val="841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27" w:customStyle="1">
    <w:name w:val="Подраздел раздела положения"/>
    <w:basedOn w:val="841"/>
    <w:qFormat/>
    <w:pPr>
      <w:numPr>
        <w:ilvl w:val="1"/>
        <w:numId w:val="1"/>
      </w:numPr>
      <w:jc w:val="both"/>
      <w:spacing w:before="80" w:after="80"/>
    </w:pPr>
  </w:style>
  <w:style w:type="paragraph" w:styleId="928">
    <w:name w:val="footnote text"/>
    <w:basedOn w:val="841"/>
    <w:uiPriority w:val="99"/>
    <w:rPr>
      <w:sz w:val="20"/>
      <w:szCs w:val="20"/>
    </w:rPr>
  </w:style>
  <w:style w:type="paragraph" w:styleId="929" w:customStyle="1">
    <w:name w:val="Шапка 1"/>
    <w:basedOn w:val="841"/>
    <w:qFormat/>
    <w:pPr>
      <w:jc w:val="center"/>
      <w:spacing w:before="0" w:after="240"/>
      <w:pBdr>
        <w:bottom w:val="single" w:color="000000" w:sz="24" w:space="1"/>
      </w:pBdr>
    </w:pPr>
    <w:rPr>
      <w:sz w:val="22"/>
      <w:szCs w:val="22"/>
    </w:rPr>
  </w:style>
  <w:style w:type="paragraph" w:styleId="930" w:customStyle="1">
    <w:name w:val="Шапка 2"/>
    <w:basedOn w:val="841"/>
    <w:qFormat/>
    <w:pPr>
      <w:jc w:val="center"/>
      <w:spacing w:before="0"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31" w:customStyle="1">
    <w:name w:val="Шапка 3"/>
    <w:basedOn w:val="841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32" w:customStyle="1">
    <w:name w:val="Название1"/>
    <w:basedOn w:val="841"/>
    <w:uiPriority w:val="10"/>
    <w:qFormat/>
    <w:pPr>
      <w:jc w:val="center"/>
    </w:pPr>
    <w:rPr>
      <w:szCs w:val="20"/>
    </w:rPr>
  </w:style>
  <w:style w:type="paragraph" w:styleId="933" w:customStyle="1">
    <w:name w:val="Колонтитул"/>
    <w:basedOn w:val="841"/>
    <w:qFormat/>
  </w:style>
  <w:style w:type="paragraph" w:styleId="934">
    <w:name w:val="Header"/>
    <w:basedOn w:val="841"/>
    <w:pPr>
      <w:tabs>
        <w:tab w:val="clear" w:pos="708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35">
    <w:name w:val="Body Text Indent"/>
    <w:basedOn w:val="841"/>
    <w:pPr>
      <w:ind w:left="360" w:firstLine="0"/>
    </w:pPr>
    <w:rPr>
      <w:sz w:val="24"/>
      <w:szCs w:val="24"/>
    </w:rPr>
  </w:style>
  <w:style w:type="paragraph" w:styleId="936">
    <w:name w:val="Footer"/>
    <w:basedOn w:val="841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37">
    <w:name w:val="Body Text Indent 2"/>
    <w:basedOn w:val="841"/>
    <w:qFormat/>
    <w:pPr>
      <w:ind w:left="283" w:firstLine="0"/>
      <w:spacing w:before="0" w:after="120" w:line="480" w:lineRule="auto"/>
    </w:pPr>
  </w:style>
  <w:style w:type="paragraph" w:styleId="938">
    <w:name w:val="Body Text 3"/>
    <w:basedOn w:val="841"/>
    <w:qFormat/>
    <w:pPr>
      <w:spacing w:before="0" w:after="120"/>
    </w:pPr>
    <w:rPr>
      <w:sz w:val="16"/>
      <w:szCs w:val="16"/>
    </w:rPr>
  </w:style>
  <w:style w:type="paragraph" w:styleId="939">
    <w:name w:val="Body Text Indent 3"/>
    <w:basedOn w:val="841"/>
    <w:uiPriority w:val="99"/>
    <w:qFormat/>
    <w:pPr>
      <w:ind w:left="283" w:firstLine="0"/>
      <w:spacing w:before="0" w:after="120"/>
    </w:pPr>
    <w:rPr>
      <w:sz w:val="16"/>
      <w:szCs w:val="16"/>
    </w:rPr>
  </w:style>
  <w:style w:type="paragraph" w:styleId="940">
    <w:name w:val="Body Text 2"/>
    <w:basedOn w:val="841"/>
    <w:qFormat/>
    <w:pPr>
      <w:spacing w:before="0" w:after="120" w:line="480" w:lineRule="auto"/>
    </w:pPr>
  </w:style>
  <w:style w:type="paragraph" w:styleId="941">
    <w:name w:val="Block Text"/>
    <w:basedOn w:val="841"/>
    <w:qFormat/>
    <w:pPr>
      <w:ind w:left="-567" w:right="-766" w:firstLine="0"/>
      <w:jc w:val="center"/>
    </w:pPr>
    <w:rPr>
      <w:b/>
      <w:bCs/>
      <w:sz w:val="24"/>
      <w:szCs w:val="20"/>
    </w:rPr>
  </w:style>
  <w:style w:type="paragraph" w:styleId="942" w:customStyle="1">
    <w:name w:val="Подпункт"/>
    <w:basedOn w:val="841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szCs w:val="20"/>
    </w:rPr>
  </w:style>
  <w:style w:type="paragraph" w:styleId="943" w:customStyle="1">
    <w:name w:val="Пункт2"/>
    <w:basedOn w:val="841"/>
    <w:qFormat/>
    <w:pPr>
      <w:ind w:left="1134" w:hanging="1134"/>
      <w:keepNext/>
      <w:spacing w:before="240" w:after="120"/>
      <w:tabs>
        <w:tab w:val="clear" w:pos="708" w:leader="none"/>
        <w:tab w:val="left" w:pos="1134" w:leader="none"/>
      </w:tabs>
      <w:outlineLvl w:val="2"/>
    </w:pPr>
    <w:rPr>
      <w:b/>
      <w:szCs w:val="20"/>
    </w:rPr>
  </w:style>
  <w:style w:type="paragraph" w:styleId="944">
    <w:name w:val="toc 1"/>
    <w:basedOn w:val="841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945">
    <w:name w:val="toc 3"/>
    <w:basedOn w:val="841"/>
    <w:uiPriority w:val="39"/>
    <w:pPr>
      <w:ind w:left="280" w:firstLine="0"/>
    </w:pPr>
    <w:rPr>
      <w:rFonts w:cs="Calibri" w:cstheme="minorHAnsi"/>
      <w:sz w:val="20"/>
      <w:szCs w:val="20"/>
    </w:rPr>
  </w:style>
  <w:style w:type="paragraph" w:styleId="946" w:customStyle="1">
    <w:name w:val="Раздел регламента"/>
    <w:basedOn w:val="841"/>
    <w:qFormat/>
  </w:style>
  <w:style w:type="paragraph" w:styleId="947" w:customStyle="1">
    <w:name w:val="Приложение к регламенту"/>
    <w:basedOn w:val="841"/>
    <w:qFormat/>
    <w:pPr>
      <w:jc w:val="right"/>
    </w:pPr>
  </w:style>
  <w:style w:type="paragraph" w:styleId="948">
    <w:name w:val="toc 2"/>
    <w:basedOn w:val="841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949">
    <w:name w:val="Balloon Text"/>
    <w:basedOn w:val="841"/>
    <w:semiHidden/>
    <w:qFormat/>
    <w:rPr>
      <w:rFonts w:ascii="Tahoma" w:hAnsi="Tahoma" w:cs="Tahoma"/>
      <w:sz w:val="16"/>
      <w:szCs w:val="16"/>
    </w:rPr>
  </w:style>
  <w:style w:type="paragraph" w:styleId="950">
    <w:name w:val="annotation text"/>
    <w:basedOn w:val="841"/>
    <w:semiHidden/>
    <w:qFormat/>
    <w:rPr>
      <w:sz w:val="20"/>
      <w:szCs w:val="20"/>
    </w:rPr>
  </w:style>
  <w:style w:type="paragraph" w:styleId="951">
    <w:name w:val="annotation subject"/>
    <w:basedOn w:val="950"/>
    <w:semiHidden/>
    <w:qFormat/>
    <w:rPr>
      <w:b/>
      <w:bCs/>
    </w:rPr>
  </w:style>
  <w:style w:type="paragraph" w:styleId="952" w:customStyle="1">
    <w:name w:val="Обычный (веб)1"/>
    <w:basedOn w:val="841"/>
    <w:uiPriority w:val="99"/>
    <w:qFormat/>
    <w:pPr>
      <w:spacing w:beforeAutospacing="1" w:afterAutospacing="1"/>
    </w:pPr>
    <w:rPr>
      <w:rFonts w:ascii="Arial Unicode MS" w:hAnsi="Arial Unicode MS" w:eastAsia="Arial Unicode MS"/>
      <w:sz w:val="24"/>
      <w:szCs w:val="24"/>
    </w:rPr>
  </w:style>
  <w:style w:type="paragraph" w:styleId="953">
    <w:name w:val="toc 9"/>
    <w:basedOn w:val="841"/>
    <w:semiHidden/>
    <w:pPr>
      <w:ind w:left="196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54">
    <w:name w:val="toc 5"/>
    <w:basedOn w:val="841"/>
    <w:semiHidden/>
    <w:pPr>
      <w:ind w:left="84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55">
    <w:name w:val="toc 4"/>
    <w:basedOn w:val="841"/>
    <w:uiPriority w:val="39"/>
    <w:pPr>
      <w:ind w:left="560" w:firstLine="0"/>
    </w:pPr>
    <w:rPr>
      <w:rFonts w:cs="Calibri" w:cstheme="minorHAnsi"/>
      <w:sz w:val="20"/>
      <w:szCs w:val="20"/>
    </w:rPr>
  </w:style>
  <w:style w:type="paragraph" w:styleId="956" w:customStyle="1">
    <w:name w:val="Раздел положения 2"/>
    <w:basedOn w:val="841"/>
    <w:qFormat/>
    <w:pPr>
      <w:jc w:val="both"/>
      <w:pageBreakBefore/>
      <w:outlineLvl w:val="0"/>
    </w:pPr>
    <w:rPr>
      <w:b/>
    </w:rPr>
  </w:style>
  <w:style w:type="paragraph" w:styleId="957" w:customStyle="1">
    <w:name w:val="Знак Знак Знак Знак Знак Знак Знак Знак Знак"/>
    <w:basedOn w:val="841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58">
    <w:name w:val="No Spacing"/>
    <w:basedOn w:val="841"/>
    <w:qFormat/>
    <w:pPr>
      <w:spacing w:line="360" w:lineRule="auto"/>
    </w:pPr>
    <w:rPr>
      <w:rFonts w:eastAsia="Calibri"/>
      <w:sz w:val="24"/>
      <w:szCs w:val="24"/>
    </w:rPr>
  </w:style>
  <w:style w:type="paragraph" w:styleId="959">
    <w:name w:val="Subtitle"/>
    <w:basedOn w:val="841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960">
    <w:name w:val="List Paragraph"/>
    <w:basedOn w:val="841"/>
    <w:uiPriority w:val="34"/>
    <w:qFormat/>
    <w:pPr>
      <w:contextualSpacing/>
      <w:ind w:left="720" w:firstLine="0"/>
      <w:spacing w:before="0" w:after="0"/>
    </w:pPr>
    <w:rPr>
      <w:rFonts w:eastAsia="Calibri"/>
      <w:sz w:val="24"/>
      <w:szCs w:val="24"/>
    </w:rPr>
  </w:style>
  <w:style w:type="paragraph" w:styleId="961">
    <w:name w:val="Quote"/>
    <w:basedOn w:val="841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962">
    <w:name w:val="Intense Quote"/>
    <w:basedOn w:val="841"/>
    <w:uiPriority w:val="30"/>
    <w:qFormat/>
    <w:pPr>
      <w:ind w:left="936" w:right="936" w:firstLine="0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963">
    <w:name w:val="Index Heading"/>
    <w:basedOn w:val="916"/>
  </w:style>
  <w:style w:type="paragraph" w:styleId="964">
    <w:name w:val="TOC Heading"/>
    <w:basedOn w:val="842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965">
    <w:name w:val="E-mail Signature"/>
    <w:basedOn w:val="841"/>
    <w:uiPriority w:val="99"/>
    <w:unhideWhenUsed/>
    <w:qFormat/>
    <w:rPr>
      <w:rFonts w:eastAsia="Calibri"/>
      <w:sz w:val="24"/>
      <w:szCs w:val="24"/>
    </w:rPr>
  </w:style>
  <w:style w:type="paragraph" w:styleId="966" w:customStyle="1">
    <w:name w:val="Знак"/>
    <w:basedOn w:val="841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7" w:customStyle="1">
    <w:name w:val="Нумерованный список ур3"/>
    <w:basedOn w:val="841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68" w:customStyle="1">
    <w:name w:val="Маркированный список 41"/>
    <w:basedOn w:val="841"/>
    <w:qFormat/>
    <w:pPr>
      <w:numPr>
        <w:ilvl w:val="0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969" w:customStyle="1">
    <w:name w:val="Нумерованный список ур2"/>
    <w:basedOn w:val="841"/>
    <w:qFormat/>
    <w:pPr>
      <w:numPr>
        <w:ilvl w:val="1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970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Calibri" w:cs="Arial Unicode MS"/>
      <w:color w:val="auto"/>
      <w:sz w:val="24"/>
      <w:szCs w:val="24"/>
      <w:lang w:val="ru-RU" w:eastAsia="ru-RU" w:bidi="ar-SA"/>
    </w:rPr>
  </w:style>
  <w:style w:type="paragraph" w:styleId="971" w:customStyle="1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Noto Serif CJK SC" w:cs="Arial"/>
      <w:color w:val="auto"/>
      <w:sz w:val="20"/>
      <w:szCs w:val="20"/>
      <w:lang w:val="ru-RU" w:eastAsia="ru-RU" w:bidi="ar-SA"/>
    </w:rPr>
  </w:style>
  <w:style w:type="paragraph" w:styleId="972" w:customStyle="1">
    <w:name w:val="Знак Знак3 Знак Знак"/>
    <w:basedOn w:val="841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73" w:customStyle="1">
    <w:name w:val="Пункт"/>
    <w:basedOn w:val="841"/>
    <w:qFormat/>
    <w:pPr>
      <w:ind w:left="1134" w:right="800" w:hanging="1134"/>
      <w:jc w:val="both"/>
      <w:spacing w:before="120" w:after="0" w:line="360" w:lineRule="auto"/>
      <w:widowControl w:val="off"/>
      <w:tabs>
        <w:tab w:val="clear" w:pos="708" w:leader="none"/>
        <w:tab w:val="left" w:pos="1134" w:leader="none"/>
      </w:tabs>
    </w:pPr>
    <w:rPr>
      <w:rFonts w:ascii="Arial" w:hAnsi="Arial"/>
      <w:b/>
      <w:i/>
      <w:szCs w:val="20"/>
    </w:rPr>
  </w:style>
  <w:style w:type="paragraph" w:styleId="974" w:customStyle="1">
    <w:name w:val="Абзац списка1"/>
    <w:basedOn w:val="841"/>
    <w:qFormat/>
    <w:pPr>
      <w:contextualSpacing/>
      <w:ind w:left="720" w:firstLine="0"/>
      <w:spacing w:before="0"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75" w:customStyle="1">
    <w:name w:val="Таблица"/>
    <w:basedOn w:val="841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976" w:customStyle="1">
    <w:name w:val="Таблица шапка"/>
    <w:basedOn w:val="841"/>
    <w:qFormat/>
    <w:pPr>
      <w:ind w:left="57" w:right="57" w:firstLine="0"/>
      <w:keepNext/>
      <w:spacing w:before="40" w:after="40"/>
    </w:pPr>
    <w:rPr>
      <w:sz w:val="22"/>
      <w:szCs w:val="26"/>
    </w:rPr>
  </w:style>
  <w:style w:type="paragraph" w:styleId="977" w:customStyle="1">
    <w:name w:val="Подподпункт"/>
    <w:basedOn w:val="942"/>
    <w:qFormat/>
    <w:pPr>
      <w:ind w:left="5104" w:hanging="567"/>
      <w:spacing w:before="120" w:after="0" w:line="240" w:lineRule="auto"/>
      <w:tabs>
        <w:tab w:val="clear" w:pos="1134" w:leader="none"/>
        <w:tab w:val="left" w:pos="5104" w:leader="none"/>
      </w:tabs>
    </w:pPr>
    <w:rPr>
      <w:sz w:val="26"/>
      <w:szCs w:val="26"/>
    </w:rPr>
  </w:style>
  <w:style w:type="paragraph" w:styleId="978" w:customStyle="1">
    <w:name w:val="УРОВЕНЬ_(а)"/>
    <w:basedOn w:val="960"/>
    <w:qFormat/>
    <w:pPr>
      <w:numPr>
        <w:ilvl w:val="3"/>
        <w:numId w:val="4"/>
      </w:numPr>
      <w:contextualSpacing w:val="0"/>
      <w:jc w:val="both"/>
      <w:spacing w:before="120" w:after="0" w:line="360" w:lineRule="exact"/>
      <w:outlineLvl w:val="3"/>
    </w:pPr>
    <w:rPr>
      <w:sz w:val="26"/>
      <w:szCs w:val="28"/>
      <w:lang w:eastAsia="en-US"/>
    </w:rPr>
  </w:style>
  <w:style w:type="paragraph" w:styleId="979" w:customStyle="1">
    <w:name w:val="УРОВЕНЬ_-"/>
    <w:basedOn w:val="960"/>
    <w:qFormat/>
    <w:pPr>
      <w:numPr>
        <w:ilvl w:val="4"/>
        <w:numId w:val="4"/>
      </w:numPr>
      <w:contextualSpacing w:val="0"/>
      <w:jc w:val="both"/>
      <w:spacing w:before="120" w:after="0" w:line="360" w:lineRule="exact"/>
      <w:outlineLvl w:val="4"/>
    </w:pPr>
    <w:rPr>
      <w:sz w:val="26"/>
      <w:szCs w:val="28"/>
      <w:lang w:eastAsia="en-US"/>
    </w:rPr>
  </w:style>
  <w:style w:type="paragraph" w:styleId="980" w:customStyle="1">
    <w:name w:val="УРОВЕНЬ_Абзац_тип2"/>
    <w:basedOn w:val="960"/>
    <w:qFormat/>
    <w:pPr>
      <w:numPr>
        <w:ilvl w:val="6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981" w:customStyle="1">
    <w:name w:val="УРОВЕНЬ_Абзац_тип3"/>
    <w:basedOn w:val="960"/>
    <w:qFormat/>
    <w:pPr>
      <w:numPr>
        <w:ilvl w:val="7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982" w:customStyle="1">
    <w:name w:val="УРОВЕНЬ_Подпись"/>
    <w:basedOn w:val="960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983" w:customStyle="1">
    <w:name w:val="Стиль Заголовок 1 + по ширине"/>
    <w:basedOn w:val="842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  <w:tab w:val="clear" w:pos="708" w:leader="none"/>
      </w:tabs>
    </w:pPr>
    <w:rPr>
      <w:rFonts w:ascii="Arial" w:hAnsi="Arial" w:eastAsia="Times New Roman"/>
      <w:bCs/>
      <w:sz w:val="40"/>
      <w:szCs w:val="20"/>
    </w:rPr>
  </w:style>
  <w:style w:type="paragraph" w:styleId="984">
    <w:name w:val="endnote text"/>
    <w:basedOn w:val="841"/>
    <w:rPr>
      <w:sz w:val="20"/>
      <w:szCs w:val="20"/>
    </w:rPr>
  </w:style>
  <w:style w:type="paragraph" w:styleId="985" w:customStyle="1">
    <w:name w:val="Заголовок 2 КВВ"/>
    <w:basedOn w:val="841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986" w:customStyle="1">
    <w:name w:val="Таблица текст"/>
    <w:basedOn w:val="841"/>
    <w:qFormat/>
    <w:pPr>
      <w:ind w:left="57" w:right="57" w:firstLine="0"/>
      <w:spacing w:before="40" w:after="40"/>
    </w:pPr>
    <w:rPr>
      <w:sz w:val="24"/>
      <w:szCs w:val="26"/>
    </w:rPr>
  </w:style>
  <w:style w:type="paragraph" w:styleId="987">
    <w:name w:val="Normal (Web)"/>
    <w:basedOn w:val="841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988" w:customStyle="1">
    <w:name w:val="УРОВЕНЬ_1."/>
    <w:basedOn w:val="960"/>
    <w:qFormat/>
    <w:pPr>
      <w:contextualSpacing w:val="0"/>
      <w:ind w:left="0" w:firstLine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989">
    <w:name w:val="toc 6"/>
    <w:basedOn w:val="841"/>
    <w:unhideWhenUsed/>
    <w:pPr>
      <w:ind w:left="112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90">
    <w:name w:val="toc 7"/>
    <w:basedOn w:val="841"/>
    <w:unhideWhenUsed/>
    <w:pPr>
      <w:ind w:left="140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91">
    <w:name w:val="toc 8"/>
    <w:basedOn w:val="841"/>
    <w:unhideWhenUsed/>
    <w:pPr>
      <w:ind w:left="168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92" w:customStyle="1">
    <w:name w:val="Абзац списка;Алроса_маркер (Уровень 4);Маркер;ПАРАГРАФ;Абзац списка2;Table-Normal;RSHB_Table-Normal;Заголовок_3;Подпись рисунка"/>
    <w:uiPriority w:val="34"/>
    <w:qFormat/>
    <w:pPr>
      <w:contextualSpacing/>
      <w:ind w:left="720" w:firstLine="0"/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4"/>
      <w:szCs w:val="24"/>
      <w:lang w:val="en-US" w:eastAsia="en-US" w:bidi="ar-SA"/>
    </w:rPr>
  </w:style>
  <w:style w:type="paragraph" w:styleId="994" w:customStyle="1">
    <w:name w:val="Содержимое врезки"/>
    <w:basedOn w:val="841"/>
    <w:qFormat/>
  </w:style>
  <w:style w:type="paragraph" w:styleId="995" w:customStyle="1">
    <w:name w:val="Содержимое таблицы"/>
    <w:basedOn w:val="841"/>
    <w:qFormat/>
    <w:pPr>
      <w:widowControl w:val="off"/>
      <w:suppressLineNumbers/>
    </w:pPr>
  </w:style>
  <w:style w:type="paragraph" w:styleId="996" w:customStyle="1">
    <w:name w:val="Заголовок таблицы"/>
    <w:basedOn w:val="995"/>
    <w:qFormat/>
    <w:pPr>
      <w:jc w:val="center"/>
    </w:pPr>
    <w:rPr>
      <w:b/>
      <w:bCs/>
    </w:rPr>
  </w:style>
  <w:style w:type="paragraph" w:styleId="997">
    <w:name w:val="Абзац списка"/>
    <w:qFormat/>
    <w:pPr>
      <w:contextualSpacing/>
      <w:ind w:left="720" w:firstLine="0"/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4"/>
      <w:szCs w:val="24"/>
      <w:lang w:val="en-US" w:eastAsia="en-US" w:bidi="ar-SA"/>
    </w:rPr>
  </w:style>
  <w:style w:type="numbering" w:styleId="998" w:default="1">
    <w:name w:val="No List"/>
    <w:uiPriority w:val="99"/>
    <w:semiHidden/>
    <w:unhideWhenUsed/>
    <w:qFormat/>
  </w:style>
  <w:style w:type="numbering" w:styleId="1000" w:customStyle="1">
    <w:name w:val="Стиль2"/>
    <w:uiPriority w:val="99"/>
    <w:qFormat/>
  </w:style>
  <w:style w:type="table" w:styleId="1001">
    <w:name w:val="Table Grid"/>
    <w:basedOn w:val="112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2">
    <w:name w:val="Table Grid Light"/>
    <w:basedOn w:val="1127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3">
    <w:name w:val="Plain Table 1"/>
    <w:basedOn w:val="1127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1004">
    <w:name w:val="Plain Table 2"/>
    <w:basedOn w:val="112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1005">
    <w:name w:val="Plain Table 3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06">
    <w:name w:val="Plain Table 4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Plain Table 5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08">
    <w:name w:val="Grid Table 1 Light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Grid Table 1 Light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Grid Table 1 Light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Grid Table 1 Light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Grid Table 1 Light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Grid Table 1 Light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Grid Table 1 Light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>
    <w:name w:val="Grid Table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Grid Table 2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9e2f2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Grid Table 2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Grid Table 2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Grid Table 2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Grid Table 2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debf6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2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3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9e2f2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3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3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3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Grid Table 3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debf6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Grid Table 3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Grid Table 4"/>
    <w:basedOn w:val="11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30">
    <w:name w:val="Grid Table 4 - Accent 1"/>
    <w:basedOn w:val="11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ae3f3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37fc8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1031">
    <w:name w:val="Grid Table 4 - Accent 2"/>
    <w:basedOn w:val="11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4b1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1032">
    <w:name w:val="Grid Table 4 - Accent 3"/>
    <w:basedOn w:val="11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1033">
    <w:name w:val="Grid Table 4 - Accent 4"/>
    <w:basedOn w:val="11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d864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1034">
    <w:name w:val="Grid Table 4 - Accent 5"/>
    <w:basedOn w:val="11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debf6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35">
    <w:name w:val="Grid Table 4 - Accent 6"/>
    <w:basedOn w:val="11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36">
    <w:name w:val="Grid Table 5 Dark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1037">
    <w:name w:val="Grid Table 5 Dark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abfe3" w:themeFill="accent1" w:themeFillTint="75"/>
      </w:tcPr>
    </w:tblStylePr>
    <w:tblStylePr w:type="band1Vert">
      <w:tcPr>
        <w:shd w:val="clear" w:color="ffffff" w:fill="aabfe3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4472c4" w:themeFill="accent1"/>
      </w:tcPr>
    </w:tblStylePr>
    <w:tblStylePr w:type="firstRow">
      <w:rPr>
        <w:b/>
        <w:color w:val="ffffff"/>
        <w:sz w:val="22"/>
      </w:rPr>
      <w:tcPr>
        <w:shd w:val="clear" w:color="ffffff" w:fill="4472c4" w:themeFill="accent1"/>
      </w:tcPr>
    </w:tblStylePr>
    <w:tblStylePr w:type="lastCol">
      <w:rPr>
        <w:b/>
        <w:color w:val="ffffff"/>
        <w:sz w:val="22"/>
      </w:rPr>
      <w:tcPr>
        <w:shd w:val="clear" w:color="ffffff" w:fill="4472c4" w:themeFill="accent1"/>
      </w:tcPr>
    </w:tblStylePr>
    <w:tblStylePr w:type="lastRow">
      <w:rPr>
        <w:b/>
        <w:color w:val="ffffff"/>
        <w:sz w:val="22"/>
      </w:rPr>
      <w:tcPr>
        <w:shd w:val="clear" w:color="ffffff" w:fill="4472c4" w:themeFill="accent1"/>
        <w:tcBorders>
          <w:top w:val="single" w:color="000000" w:themeColor="light1" w:sz="4" w:space="0"/>
        </w:tcBorders>
      </w:tcPr>
    </w:tblStylePr>
  </w:style>
  <w:style w:type="table" w:styleId="1038">
    <w:name w:val="Grid Table 5 Dark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6c3a1" w:themeFill="accent2" w:themeFillTint="75"/>
      </w:tcPr>
    </w:tblStylePr>
    <w:tblStylePr w:type="band1Vert">
      <w:tcPr>
        <w:shd w:val="clear" w:color="ffffff" w:fill="f6c3a1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ed7d31" w:themeFill="accent2"/>
      </w:tcPr>
    </w:tblStylePr>
    <w:tblStylePr w:type="firstRow">
      <w:rPr>
        <w:b/>
        <w:color w:val="ffffff"/>
        <w:sz w:val="22"/>
      </w:rPr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</w:style>
  <w:style w:type="table" w:styleId="1039">
    <w:name w:val="Grid Table 5 Dark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6d6d6" w:themeFill="accent3" w:themeFillTint="75"/>
      </w:tcPr>
    </w:tblStylePr>
    <w:tblStylePr w:type="band1Vert">
      <w:tcPr>
        <w:shd w:val="clear" w:color="ffffff" w:fill="d6d6d6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a5a5a5" w:themeFill="accent3"/>
      </w:tcPr>
    </w:tblStylePr>
    <w:tblStylePr w:type="firstRow">
      <w:rPr>
        <w:b/>
        <w:color w:val="ffffff"/>
        <w:sz w:val="22"/>
      </w:rPr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</w:style>
  <w:style w:type="table" w:styleId="1040">
    <w:name w:val="Grid Table 5 Dark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ee189" w:themeFill="accent4" w:themeFillTint="75"/>
      </w:tcPr>
    </w:tblStylePr>
    <w:tblStylePr w:type="band1Vert">
      <w:tcPr>
        <w:shd w:val="clear" w:color="ffffff" w:fill="fee189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ffc000" w:themeFill="accent4"/>
      </w:tcPr>
    </w:tblStylePr>
    <w:tblStylePr w:type="firstRow">
      <w:rPr>
        <w:b/>
        <w:color w:val="ffffff"/>
        <w:sz w:val="22"/>
      </w:rPr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</w:style>
  <w:style w:type="table" w:styleId="1041">
    <w:name w:val="Grid Table 5 Dark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4d2eb" w:themeFill="accent5" w:themeFillTint="75"/>
      </w:tcPr>
    </w:tblStylePr>
    <w:tblStylePr w:type="band1Vert">
      <w:tcPr>
        <w:shd w:val="clear" w:color="ffffff" w:fill="b4d2eb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5b9bd5" w:themeFill="accent5"/>
      </w:tcPr>
    </w:tblStylePr>
    <w:tblStylePr w:type="firstRow">
      <w:rPr>
        <w:b/>
        <w:color w:val="ffffff"/>
        <w:sz w:val="22"/>
      </w:rPr>
      <w:tcPr>
        <w:shd w:val="clear" w:color="ffffff" w:fill="5b9bd5" w:themeFill="accent5"/>
      </w:tcPr>
    </w:tblStylePr>
    <w:tblStylePr w:type="lastCol">
      <w:rPr>
        <w:b/>
        <w:color w:val="ffffff"/>
        <w:sz w:val="22"/>
      </w:rPr>
      <w:tcPr>
        <w:shd w:val="clear" w:color="ffffff" w:fill="5b9bd5" w:themeFill="accent5"/>
      </w:tcPr>
    </w:tblStylePr>
    <w:tblStylePr w:type="lastRow">
      <w:rPr>
        <w:b/>
        <w:color w:val="ffffff"/>
        <w:sz w:val="22"/>
      </w:rPr>
      <w:tcPr>
        <w:shd w:val="clear" w:color="ffffff" w:fill="5b9bd5" w:themeFill="accent5"/>
        <w:tcBorders>
          <w:top w:val="single" w:color="000000" w:themeColor="light1" w:sz="4" w:space="0"/>
        </w:tcBorders>
      </w:tcPr>
    </w:tblStylePr>
  </w:style>
  <w:style w:type="table" w:styleId="1042">
    <w:name w:val="Grid Table 5 Dark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edba8" w:themeFill="accent6" w:themeFillTint="75"/>
      </w:tcPr>
    </w:tblStylePr>
    <w:tblStylePr w:type="band1Vert">
      <w:tcPr>
        <w:shd w:val="clear" w:color="ffffff" w:fill="be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70ad47" w:themeFill="accent6"/>
      </w:tcPr>
    </w:tblStylePr>
    <w:tblStylePr w:type="firstRow">
      <w:rPr>
        <w:b/>
        <w:color w:val="ffffff"/>
        <w:sz w:val="22"/>
      </w:rPr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</w:style>
  <w:style w:type="table" w:styleId="1043">
    <w:name w:val="Grid Table 6 Colorful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1044">
    <w:name w:val="Grid Table 6 Colorful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d9e2f2" w:themeFill="accent1" w:themeFillTint="34"/>
      </w:tcPr>
    </w:tblStylePr>
    <w:tblStylePr w:type="band1Vert">
      <w:tcPr>
        <w:shd w:val="clear" w:color="ffffff" w:fill="d9e2f2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1045">
    <w:name w:val="Grid Table 6 Colorful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1046">
    <w:name w:val="Grid Table 6 Colorful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1047">
    <w:name w:val="Grid Table 6 Colorful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1048">
    <w:name w:val="Grid Table 6 Colorful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ddebf6" w:themeFill="accent5" w:themeFillTint="34"/>
      </w:tcPr>
    </w:tblStylePr>
    <w:tblStylePr w:type="band1Vert">
      <w:tcPr>
        <w:shd w:val="clear" w:color="ffffff" w:fill="ddebf6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1049">
    <w:name w:val="Grid Table 6 Colorful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1050">
    <w:name w:val="Grid Table 7 Colorful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>
    <w:name w:val="Grid Table 7 Colorful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664a9" w:themeColor="accent1" w:themeTint="80" w:themeShade="95"/>
        <w:sz w:val="22"/>
      </w:rPr>
      <w:tcPr>
        <w:shd w:val="clear" w:color="ffffff" w:fill="d9e2f2" w:themeFill="accent1" w:themeFillTint="34"/>
      </w:tcPr>
    </w:tblStylePr>
    <w:tblStylePr w:type="band1Vert">
      <w:tcPr>
        <w:shd w:val="clear" w:color="ffffff" w:fill="d9e2f2" w:themeFill="accent1" w:themeFillTint="34"/>
      </w:tcPr>
    </w:tblStylePr>
    <w:tblStylePr w:type="band2Horz">
      <w:rPr>
        <w:color w:val="3664a9" w:themeColor="accent1" w:themeTint="80" w:themeShade="95"/>
        <w:sz w:val="22"/>
      </w:rPr>
    </w:tblStylePr>
    <w:tblStylePr w:type="firstCol">
      <w:rPr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664a9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664a9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Grid Table 7 Colorful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Grid Table 7 Colorful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>
    <w:name w:val="Grid Table 7 Colorful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>
    <w:name w:val="Grid Table 7 Colorful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45d8d" w:themeColor="accent5" w:themeShade="95"/>
        <w:sz w:val="22"/>
      </w:rPr>
      <w:tcPr>
        <w:shd w:val="clear" w:color="ffffff" w:fill="ddebf6" w:themeFill="accent5" w:themeFillTint="34"/>
      </w:tcPr>
    </w:tblStylePr>
    <w:tblStylePr w:type="band1Vert">
      <w:tcPr>
        <w:shd w:val="clear" w:color="ffffff" w:fill="ddebf6" w:themeFill="accent5" w:themeFillTint="34"/>
      </w:tcPr>
    </w:tblStylePr>
    <w:tblStylePr w:type="band2Horz">
      <w:rPr>
        <w:color w:val="245d8d" w:themeColor="accent5" w:themeShade="95"/>
        <w:sz w:val="22"/>
      </w:rPr>
    </w:tblStylePr>
    <w:tblStylePr w:type="firstCol">
      <w:rPr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d8d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d8d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>
    <w:name w:val="Grid Table 7 Colorful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List Table 1 Light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>
    <w:name w:val="List Table 1 Light - Accent 1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cfdcf0" w:themeFill="accent1" w:themeFillTint="40"/>
      </w:tcPr>
    </w:tblStylePr>
    <w:tblStylePr w:type="band1Vert">
      <w:tcPr>
        <w:shd w:val="clear" w:color="ffffff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>
    <w:name w:val="List Table 1 Light - Accent 2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>
    <w:name w:val="List Table 1 Light - Accent 3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>
    <w:name w:val="List Table 1 Light - Accent 4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>
    <w:name w:val="List Table 1 Light - Accent 5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5e6f4" w:themeFill="accent5" w:themeFillTint="40"/>
      </w:tcPr>
    </w:tblStylePr>
    <w:tblStylePr w:type="band1Vert">
      <w:tcPr>
        <w:shd w:val="clear" w:color="ffffff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>
    <w:name w:val="List Table 1 Light - Accent 6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4">
    <w:name w:val="List Table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065">
    <w:name w:val="List Table 2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cfdcf0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cfdcf0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066">
    <w:name w:val="List Table 2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067">
    <w:name w:val="List Table 2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068">
    <w:name w:val="List Table 2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069">
    <w:name w:val="List Table 2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5e6f4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5e6f4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070">
    <w:name w:val="List Table 2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dbeb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071">
    <w:name w:val="List Table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2">
    <w:name w:val="List Table 3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3">
    <w:name w:val="List Table 3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4">
    <w:name w:val="List Table 3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5">
    <w:name w:val="List Table 3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6">
    <w:name w:val="List Table 3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7">
    <w:name w:val="List Table 3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8">
    <w:name w:val="List Table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9">
    <w:name w:val="List Table 4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cfdcf0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0">
    <w:name w:val="List Table 4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1">
    <w:name w:val="List Table 4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2">
    <w:name w:val="List Table 4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3">
    <w:name w:val="List Table 4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5e6f4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4">
    <w:name w:val="List Table 4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5">
    <w:name w:val="List Table 5 Dark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1086">
    <w:name w:val="List Table 5 Dark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1087">
    <w:name w:val="List Table 5 Dark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4b1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1088">
    <w:name w:val="List Table 5 Dark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1089">
    <w:name w:val="List Table 5 Dark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d864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1090">
    <w:name w:val="List Table 5 Dark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cc4e5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1091">
    <w:name w:val="List Table 5 Dark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aad0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1092">
    <w:name w:val="List Table 6 Colorful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1093">
    <w:name w:val="List Table 6 Colorful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cfdcf0" w:themeFill="accent1" w:themeFillTint="40"/>
      </w:tcPr>
    </w:tblStylePr>
    <w:tblStylePr w:type="band1Vert">
      <w:tcPr>
        <w:shd w:val="clear" w:color="ffffff" w:fill="cfdcf0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94">
    <w:name w:val="List Table 6 Colorful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1095">
    <w:name w:val="List Table 6 Colorful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1096">
    <w:name w:val="List Table 6 Colorful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1097">
    <w:name w:val="List Table 6 Colorful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d5e6f4" w:themeFill="accent5" w:themeFillTint="40"/>
      </w:tcPr>
    </w:tblStylePr>
    <w:tblStylePr w:type="band1Vert">
      <w:tcPr>
        <w:shd w:val="clear" w:color="ffffff" w:fill="d5e6f4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1098">
    <w:name w:val="List Table 6 Colorful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1099">
    <w:name w:val="List Table 7 Colorful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1100">
    <w:name w:val="List Table 7 Colorful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54374" w:themeColor="accent1" w:themeShade="95"/>
        <w:sz w:val="22"/>
      </w:rPr>
      <w:tcPr>
        <w:shd w:val="clear" w:color="ffffff" w:fill="cfdcf0" w:themeFill="accent1" w:themeFillTint="40"/>
      </w:tcPr>
    </w:tblStylePr>
    <w:tblStylePr w:type="band1Vert">
      <w:tcPr>
        <w:shd w:val="clear" w:color="ffffff" w:fill="cfdcf0" w:themeFill="accent1" w:themeFillTint="40"/>
      </w:tcPr>
    </w:tblStylePr>
    <w:tblStylePr w:type="band2Horz">
      <w:rPr>
        <w:color w:val="254374" w:themeColor="accent1" w:themeShade="95"/>
        <w:sz w:val="22"/>
      </w:rPr>
    </w:tblStylePr>
    <w:tblStylePr w:type="firstCol">
      <w:rPr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374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374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54374" w:themeColor="accent1" w:themeShade="95"/>
        <w:sz w:val="22"/>
      </w:rPr>
    </w:tblStylePr>
  </w:style>
  <w:style w:type="table" w:styleId="1101">
    <w:name w:val="List Table 7 Colorful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1102">
    <w:name w:val="List Table 7 Colorful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57575" w:themeColor="accent3" w:themeTint="98" w:themeShade="95"/>
        <w:sz w:val="22"/>
      </w:rPr>
    </w:tblStylePr>
  </w:style>
  <w:style w:type="table" w:styleId="1103">
    <w:name w:val="List Table 7 Colorful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1104">
    <w:name w:val="List Table 7 Colorful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2e78b1" w:themeColor="accent5" w:themeTint="9A" w:themeShade="95"/>
        <w:sz w:val="22"/>
      </w:rPr>
      <w:tcPr>
        <w:shd w:val="clear" w:color="ffffff" w:fill="d5e6f4" w:themeFill="accent5" w:themeFillTint="40"/>
      </w:tcPr>
    </w:tblStylePr>
    <w:tblStylePr w:type="band1Vert">
      <w:tcPr>
        <w:shd w:val="clear" w:color="ffffff" w:fill="d5e6f4" w:themeFill="accent5" w:themeFillTint="40"/>
      </w:tcPr>
    </w:tblStylePr>
    <w:tblStylePr w:type="band2Horz">
      <w:rPr>
        <w:color w:val="2e78b1" w:themeColor="accent5" w:themeTint="9A" w:themeShade="95"/>
        <w:sz w:val="22"/>
      </w:rPr>
    </w:tblStylePr>
    <w:tblStylePr w:type="firstCol">
      <w:rPr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e78b1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e78b1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e78b1" w:themeColor="accent5" w:themeTint="9A" w:themeShade="95"/>
        <w:sz w:val="22"/>
      </w:rPr>
    </w:tblStylePr>
  </w:style>
  <w:style w:type="table" w:styleId="1105">
    <w:name w:val="List Table 7 Colorful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5f8f3c" w:themeColor="accent6" w:themeTint="98" w:themeShade="95"/>
        <w:sz w:val="22"/>
      </w:rPr>
    </w:tblStylePr>
  </w:style>
  <w:style w:type="table" w:styleId="1106">
    <w:name w:val="Lined - Accent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1107">
    <w:name w:val="Lined - Accent 1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3d3ec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3d3ec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37fc8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37fc8" w:themeFill="accent1" w:themeFillTint="EA"/>
      </w:tcPr>
    </w:tblStylePr>
    <w:tblStylePr w:type="lastCol">
      <w:rPr>
        <w:color w:val="f2f2f2"/>
        <w:sz w:val="22"/>
      </w:rPr>
      <w:tcPr>
        <w:shd w:val="clear" w:color="ffffff" w:fill="537fc8" w:themeFill="accent1" w:themeFillTint="EA"/>
      </w:tcPr>
    </w:tblStylePr>
    <w:tblStylePr w:type="lastRow">
      <w:rPr>
        <w:color w:val="f2f2f2"/>
        <w:sz w:val="22"/>
      </w:rPr>
      <w:tcPr>
        <w:shd w:val="clear" w:color="ffffff" w:fill="537fc8" w:themeFill="accent1" w:themeFillTint="EA"/>
      </w:tcPr>
    </w:tblStylePr>
  </w:style>
  <w:style w:type="table" w:styleId="1108">
    <w:name w:val="Lined - Accent 2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cPr>
        <w:shd w:val="clear" w:color="ffffff" w:fill="f4b185" w:themeFill="accent2" w:themeFillTint="97"/>
      </w:tcPr>
    </w:tblStylePr>
  </w:style>
  <w:style w:type="table" w:styleId="1109">
    <w:name w:val="Lined - Accent 3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cPr>
        <w:shd w:val="clear" w:color="ffffff" w:fill="a5a5a5" w:themeFill="accent3" w:themeFillTint="FE"/>
      </w:tcPr>
    </w:tblStylePr>
  </w:style>
  <w:style w:type="table" w:styleId="1110">
    <w:name w:val="Lined - Accent 4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d864" w:themeFill="accent4" w:themeFillTint="9A"/>
      </w:tcPr>
    </w:tblStylePr>
  </w:style>
  <w:style w:type="table" w:styleId="1111">
    <w:name w:val="Lined - Accent 5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debf6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debf6" w:themeFill="accent5" w:themeFillTint="34"/>
      </w:tcPr>
    </w:tblStylePr>
    <w:tblStylePr w:type="firstCol">
      <w:rPr>
        <w:color w:val="f2f2f2"/>
        <w:sz w:val="22"/>
      </w:rPr>
      <w:tcPr>
        <w:shd w:val="clear" w:color="ffffff" w:fill="5b9bd5" w:themeFill="accent5"/>
      </w:tcPr>
    </w:tblStylePr>
    <w:tblStylePr w:type="firstRow">
      <w:rPr>
        <w:color w:val="f2f2f2"/>
        <w:sz w:val="22"/>
      </w:rPr>
      <w:tcPr>
        <w:shd w:val="clear" w:color="ffffff" w:fill="5b9bd5" w:themeFill="accent5"/>
      </w:tcPr>
    </w:tblStylePr>
    <w:tblStylePr w:type="lastCol">
      <w:rPr>
        <w:color w:val="f2f2f2"/>
        <w:sz w:val="22"/>
      </w:rPr>
      <w:tcPr>
        <w:shd w:val="clear" w:color="ffffff" w:fill="5b9bd5" w:themeFill="accent5"/>
      </w:tcPr>
    </w:tblStylePr>
    <w:tblStylePr w:type="lastRow">
      <w:rPr>
        <w:color w:val="f2f2f2"/>
        <w:sz w:val="22"/>
      </w:rPr>
      <w:tcPr>
        <w:shd w:val="clear" w:color="ffffff" w:fill="5b9bd5" w:themeFill="accent5"/>
      </w:tcPr>
    </w:tblStylePr>
  </w:style>
  <w:style w:type="table" w:styleId="1112">
    <w:name w:val="Lined - Accent 6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70ad47" w:themeFill="accent6"/>
      </w:tcPr>
    </w:tblStylePr>
    <w:tblStylePr w:type="firstRow">
      <w:rPr>
        <w:color w:val="f2f2f2"/>
        <w:sz w:val="22"/>
      </w:rPr>
      <w:tcPr>
        <w:shd w:val="clear" w:color="ffffff" w:fill="70ad47" w:themeFill="accent6"/>
      </w:tcPr>
    </w:tblStylePr>
    <w:tblStylePr w:type="lastCol">
      <w:rPr>
        <w:color w:val="f2f2f2"/>
        <w:sz w:val="22"/>
      </w:rPr>
      <w:tcPr>
        <w:shd w:val="clear" w:color="ffffff" w:fill="70ad47" w:themeFill="accent6"/>
      </w:tcPr>
    </w:tblStylePr>
    <w:tblStylePr w:type="lastRow">
      <w:rPr>
        <w:color w:val="f2f2f2"/>
        <w:sz w:val="22"/>
      </w:rPr>
      <w:tcPr>
        <w:shd w:val="clear" w:color="ffffff" w:fill="70ad47" w:themeFill="accent6"/>
      </w:tcPr>
    </w:tblStylePr>
  </w:style>
  <w:style w:type="table" w:styleId="1113">
    <w:name w:val="Bordered &amp; Lined - Accent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1114">
    <w:name w:val="Bordered &amp; Lined - Accent 1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3d3ec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3d3ec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37fc8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37fc8" w:themeFill="accent1" w:themeFillTint="EA"/>
      </w:tcPr>
    </w:tblStylePr>
    <w:tblStylePr w:type="lastCol">
      <w:rPr>
        <w:color w:val="f2f2f2"/>
        <w:sz w:val="22"/>
      </w:rPr>
      <w:tcPr>
        <w:shd w:val="clear" w:color="ffffff" w:fill="537fc8" w:themeFill="accent1" w:themeFillTint="EA"/>
      </w:tcPr>
    </w:tblStylePr>
    <w:tblStylePr w:type="lastRow">
      <w:rPr>
        <w:color w:val="f2f2f2"/>
        <w:sz w:val="22"/>
      </w:rPr>
      <w:tcPr>
        <w:shd w:val="clear" w:color="ffffff" w:fill="537fc8" w:themeFill="accent1" w:themeFillTint="EA"/>
      </w:tcPr>
    </w:tblStylePr>
  </w:style>
  <w:style w:type="table" w:styleId="1115">
    <w:name w:val="Bordered &amp; Lined - Accent 2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cPr>
        <w:shd w:val="clear" w:color="ffffff" w:fill="f4b185" w:themeFill="accent2" w:themeFillTint="97"/>
      </w:tcPr>
    </w:tblStylePr>
  </w:style>
  <w:style w:type="table" w:styleId="1116">
    <w:name w:val="Bordered &amp; Lined - Accent 3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cPr>
        <w:shd w:val="clear" w:color="ffffff" w:fill="a5a5a5" w:themeFill="accent3" w:themeFillTint="FE"/>
      </w:tcPr>
    </w:tblStylePr>
  </w:style>
  <w:style w:type="table" w:styleId="1117">
    <w:name w:val="Bordered &amp; Lined - Accent 4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d864" w:themeFill="accent4" w:themeFillTint="9A"/>
      </w:tcPr>
    </w:tblStylePr>
  </w:style>
  <w:style w:type="table" w:styleId="1118">
    <w:name w:val="Bordered &amp; Lined - Accent 5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debf6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debf6" w:themeFill="accent5" w:themeFillTint="34"/>
      </w:tcPr>
    </w:tblStylePr>
    <w:tblStylePr w:type="firstCol">
      <w:rPr>
        <w:color w:val="f2f2f2"/>
        <w:sz w:val="22"/>
      </w:rPr>
      <w:tcPr>
        <w:shd w:val="clear" w:color="ffffff" w:fill="5b9bd5" w:themeFill="accent5"/>
      </w:tcPr>
    </w:tblStylePr>
    <w:tblStylePr w:type="firstRow">
      <w:rPr>
        <w:color w:val="f2f2f2"/>
        <w:sz w:val="22"/>
      </w:rPr>
      <w:tcPr>
        <w:shd w:val="clear" w:color="ffffff" w:fill="5b9bd5" w:themeFill="accent5"/>
      </w:tcPr>
    </w:tblStylePr>
    <w:tblStylePr w:type="lastCol">
      <w:rPr>
        <w:color w:val="f2f2f2"/>
        <w:sz w:val="22"/>
      </w:rPr>
      <w:tcPr>
        <w:shd w:val="clear" w:color="ffffff" w:fill="5b9bd5" w:themeFill="accent5"/>
      </w:tcPr>
    </w:tblStylePr>
    <w:tblStylePr w:type="lastRow">
      <w:rPr>
        <w:color w:val="f2f2f2"/>
        <w:sz w:val="22"/>
      </w:rPr>
      <w:tcPr>
        <w:shd w:val="clear" w:color="ffffff" w:fill="5b9bd5" w:themeFill="accent5"/>
      </w:tcPr>
    </w:tblStylePr>
  </w:style>
  <w:style w:type="table" w:styleId="1119">
    <w:name w:val="Bordered &amp; Lined - Accent 6"/>
    <w:basedOn w:val="11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70ad47" w:themeFill="accent6"/>
      </w:tcPr>
    </w:tblStylePr>
    <w:tblStylePr w:type="firstRow">
      <w:rPr>
        <w:color w:val="f2f2f2"/>
        <w:sz w:val="22"/>
      </w:rPr>
      <w:tcPr>
        <w:shd w:val="clear" w:color="ffffff" w:fill="70ad47" w:themeFill="accent6"/>
      </w:tcPr>
    </w:tblStylePr>
    <w:tblStylePr w:type="lastCol">
      <w:rPr>
        <w:color w:val="f2f2f2"/>
        <w:sz w:val="22"/>
      </w:rPr>
      <w:tcPr>
        <w:shd w:val="clear" w:color="ffffff" w:fill="70ad47" w:themeFill="accent6"/>
      </w:tcPr>
    </w:tblStylePr>
    <w:tblStylePr w:type="lastRow">
      <w:rPr>
        <w:color w:val="f2f2f2"/>
        <w:sz w:val="22"/>
      </w:rPr>
      <w:tcPr>
        <w:shd w:val="clear" w:color="ffffff" w:fill="70ad47" w:themeFill="accent6"/>
      </w:tcPr>
    </w:tblStylePr>
  </w:style>
  <w:style w:type="table" w:styleId="1120">
    <w:name w:val="Bordered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1121">
    <w:name w:val="Bordered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22">
    <w:name w:val="Bordered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1123">
    <w:name w:val="Bordered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1124">
    <w:name w:val="Bordered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1125">
    <w:name w:val="Bordered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1126">
    <w:name w:val="Bordered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1127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header" Target="header8.xml" /><Relationship Id="rId17" Type="http://schemas.openxmlformats.org/officeDocument/2006/relationships/footer" Target="footer1.xml" /><Relationship Id="rId18" Type="http://schemas.openxmlformats.org/officeDocument/2006/relationships/footer" Target="footer2.xml" /><Relationship Id="rId19" Type="http://schemas.openxmlformats.org/officeDocument/2006/relationships/footer" Target="footer3.xml" /><Relationship Id="rId20" Type="http://schemas.openxmlformats.org/officeDocument/2006/relationships/footer" Target="footer4.xml" /><Relationship Id="rId21" Type="http://schemas.openxmlformats.org/officeDocument/2006/relationships/footer" Target="footer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_rels/header8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Р7-Офис/2026.1.1.1805</Application>
  <Company>Microsoft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korneva_oa</cp:lastModifiedBy>
  <cp:revision>15</cp:revision>
  <dcterms:created xsi:type="dcterms:W3CDTF">2026-07-26T23:26:00Z</dcterms:created>
  <dcterms:modified xsi:type="dcterms:W3CDTF">2026-08-06T22:47:50Z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